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2C34F">
      <w:pPr>
        <w:jc w:val="left"/>
        <w:rPr>
          <w:rFonts w:ascii="宋体" w:hAnsi="宋体" w:cs="宋体"/>
          <w:color w:val="auto"/>
          <w:sz w:val="44"/>
          <w:szCs w:val="44"/>
          <w:highlight w:val="none"/>
        </w:rPr>
      </w:pPr>
    </w:p>
    <w:p w14:paraId="73A94FED">
      <w:pPr>
        <w:tabs>
          <w:tab w:val="left" w:pos="2450"/>
        </w:tabs>
        <w:spacing w:line="680" w:lineRule="exact"/>
        <w:rPr>
          <w:rFonts w:ascii="宋体" w:hAnsi="宋体" w:cs="宋体"/>
          <w:color w:val="auto"/>
          <w:sz w:val="44"/>
          <w:szCs w:val="44"/>
          <w:highlight w:val="none"/>
        </w:rPr>
      </w:pPr>
    </w:p>
    <w:p w14:paraId="7BEE615B">
      <w:pPr>
        <w:snapToGrid w:val="0"/>
        <w:spacing w:line="360" w:lineRule="auto"/>
        <w:jc w:val="center"/>
        <w:rPr>
          <w:rFonts w:ascii="宋体" w:hAnsi="宋体" w:cs="黑体"/>
          <w:b/>
          <w:color w:val="auto"/>
          <w:spacing w:val="170"/>
          <w:kern w:val="0"/>
          <w:sz w:val="84"/>
          <w:szCs w:val="84"/>
          <w:highlight w:val="none"/>
        </w:rPr>
      </w:pPr>
    </w:p>
    <w:p w14:paraId="5A923B8D">
      <w:pPr>
        <w:snapToGrid w:val="0"/>
        <w:spacing w:line="360" w:lineRule="auto"/>
        <w:jc w:val="center"/>
        <w:rPr>
          <w:rFonts w:ascii="宋体" w:hAnsi="宋体" w:cs="黑体"/>
          <w:b/>
          <w:color w:val="auto"/>
          <w:spacing w:val="170"/>
          <w:kern w:val="0"/>
          <w:sz w:val="84"/>
          <w:szCs w:val="84"/>
          <w:highlight w:val="none"/>
        </w:rPr>
      </w:pPr>
      <w:r>
        <w:rPr>
          <w:rFonts w:hint="eastAsia" w:ascii="宋体" w:hAnsi="宋体" w:cs="黑体"/>
          <w:b/>
          <w:color w:val="auto"/>
          <w:spacing w:val="170"/>
          <w:kern w:val="0"/>
          <w:sz w:val="84"/>
          <w:szCs w:val="84"/>
          <w:highlight w:val="none"/>
        </w:rPr>
        <w:t>询价通知书</w:t>
      </w:r>
    </w:p>
    <w:p w14:paraId="1F6F51DE">
      <w:pPr>
        <w:tabs>
          <w:tab w:val="left" w:pos="2450"/>
        </w:tabs>
        <w:spacing w:line="680" w:lineRule="exact"/>
        <w:rPr>
          <w:rFonts w:ascii="宋体" w:hAnsi="宋体" w:cs="宋体"/>
          <w:color w:val="auto"/>
          <w:sz w:val="44"/>
          <w:szCs w:val="44"/>
          <w:highlight w:val="none"/>
        </w:rPr>
      </w:pPr>
      <w:r>
        <w:rPr>
          <w:rFonts w:ascii="宋体" w:hAnsi="宋体" w:cs="宋体"/>
          <w:color w:val="auto"/>
          <w:sz w:val="44"/>
          <w:szCs w:val="44"/>
          <w:highlight w:val="none"/>
        </w:rPr>
        <w:tab/>
      </w:r>
    </w:p>
    <w:p w14:paraId="50343CBE">
      <w:pPr>
        <w:adjustRightInd w:val="0"/>
        <w:snapToGrid w:val="0"/>
        <w:spacing w:line="800" w:lineRule="exact"/>
        <w:rPr>
          <w:rFonts w:ascii="宋体" w:hAnsi="宋体" w:cs="宋体"/>
          <w:color w:val="auto"/>
          <w:sz w:val="44"/>
          <w:szCs w:val="44"/>
          <w:highlight w:val="none"/>
        </w:rPr>
      </w:pPr>
    </w:p>
    <w:p w14:paraId="1EC2C7BB">
      <w:pPr>
        <w:adjustRightInd w:val="0"/>
        <w:snapToGrid w:val="0"/>
        <w:spacing w:line="800" w:lineRule="exact"/>
        <w:ind w:firstLine="1680" w:firstLineChars="600"/>
        <w:rPr>
          <w:rFonts w:hint="eastAsia" w:ascii="宋体" w:hAnsi="宋体" w:eastAsia="宋体"/>
          <w:bCs/>
          <w:color w:val="auto"/>
          <w:sz w:val="28"/>
          <w:szCs w:val="32"/>
          <w:highlight w:val="none"/>
          <w:lang w:eastAsia="zh-CN"/>
        </w:rPr>
      </w:pPr>
      <w:r>
        <w:rPr>
          <w:rFonts w:hint="eastAsia" w:ascii="宋体" w:hAnsi="宋体"/>
          <w:bCs/>
          <w:color w:val="auto"/>
          <w:sz w:val="28"/>
          <w:szCs w:val="32"/>
          <w:highlight w:val="none"/>
        </w:rPr>
        <w:t>采购项目编号：</w:t>
      </w:r>
      <w:r>
        <w:rPr>
          <w:rFonts w:hint="eastAsia" w:ascii="宋体" w:hAnsi="宋体"/>
          <w:bCs/>
          <w:color w:val="auto"/>
          <w:sz w:val="28"/>
          <w:szCs w:val="32"/>
          <w:highlight w:val="none"/>
          <w:lang w:eastAsia="zh-CN"/>
        </w:rPr>
        <w:t>CT-SX-2025074</w:t>
      </w:r>
    </w:p>
    <w:p w14:paraId="1A99A823">
      <w:pPr>
        <w:adjustRightInd w:val="0"/>
        <w:snapToGrid w:val="0"/>
        <w:spacing w:line="800" w:lineRule="exact"/>
        <w:ind w:firstLine="1680" w:firstLineChars="600"/>
        <w:rPr>
          <w:rFonts w:ascii="宋体" w:hAnsi="宋体"/>
          <w:bCs/>
          <w:color w:val="auto"/>
          <w:sz w:val="28"/>
          <w:szCs w:val="32"/>
          <w:highlight w:val="none"/>
        </w:rPr>
      </w:pPr>
      <w:r>
        <w:rPr>
          <w:rFonts w:hint="eastAsia" w:ascii="宋体" w:hAnsi="宋体"/>
          <w:bCs/>
          <w:color w:val="auto"/>
          <w:sz w:val="28"/>
          <w:szCs w:val="32"/>
          <w:highlight w:val="none"/>
        </w:rPr>
        <w:t xml:space="preserve">采购项目名称：警校关于模拟街区改造项目 </w:t>
      </w:r>
    </w:p>
    <w:p w14:paraId="21110CE3">
      <w:pPr>
        <w:adjustRightInd w:val="0"/>
        <w:snapToGrid w:val="0"/>
        <w:spacing w:line="800" w:lineRule="exact"/>
        <w:ind w:firstLine="1680" w:firstLineChars="600"/>
        <w:rPr>
          <w:rFonts w:ascii="宋体" w:hAnsi="宋体"/>
          <w:bCs/>
          <w:color w:val="auto"/>
          <w:sz w:val="28"/>
          <w:szCs w:val="32"/>
          <w:highlight w:val="none"/>
        </w:rPr>
      </w:pPr>
      <w:r>
        <w:rPr>
          <w:rFonts w:hint="eastAsia" w:ascii="宋体" w:hAnsi="宋体"/>
          <w:bCs/>
          <w:color w:val="auto"/>
          <w:sz w:val="28"/>
          <w:szCs w:val="32"/>
          <w:highlight w:val="none"/>
        </w:rPr>
        <w:t xml:space="preserve">采 购 人名称：常州市公安局 </w:t>
      </w:r>
    </w:p>
    <w:p w14:paraId="24865B2C">
      <w:pPr>
        <w:adjustRightInd w:val="0"/>
        <w:snapToGrid w:val="0"/>
        <w:spacing w:line="800" w:lineRule="exact"/>
        <w:ind w:firstLine="2640" w:firstLineChars="600"/>
        <w:rPr>
          <w:rFonts w:ascii="宋体" w:hAnsi="宋体" w:cs="宋体"/>
          <w:color w:val="auto"/>
          <w:sz w:val="44"/>
          <w:szCs w:val="44"/>
          <w:highlight w:val="none"/>
        </w:rPr>
      </w:pPr>
    </w:p>
    <w:p w14:paraId="20F48C9C">
      <w:pPr>
        <w:spacing w:line="680" w:lineRule="exact"/>
        <w:jc w:val="center"/>
        <w:rPr>
          <w:rFonts w:ascii="宋体" w:hAnsi="宋体" w:cs="宋体"/>
          <w:color w:val="auto"/>
          <w:sz w:val="44"/>
          <w:szCs w:val="44"/>
          <w:highlight w:val="none"/>
        </w:rPr>
      </w:pPr>
    </w:p>
    <w:p w14:paraId="0B868029">
      <w:pPr>
        <w:spacing w:line="480" w:lineRule="exact"/>
        <w:ind w:firstLine="750" w:firstLineChars="250"/>
        <w:jc w:val="center"/>
        <w:rPr>
          <w:rFonts w:ascii="宋体" w:hAnsi="宋体" w:cs="宋体"/>
          <w:color w:val="auto"/>
          <w:sz w:val="30"/>
          <w:szCs w:val="30"/>
          <w:highlight w:val="none"/>
        </w:rPr>
      </w:pPr>
    </w:p>
    <w:p w14:paraId="4CB559DA">
      <w:pPr>
        <w:spacing w:line="480" w:lineRule="exact"/>
        <w:jc w:val="center"/>
        <w:rPr>
          <w:rFonts w:ascii="宋体" w:hAnsi="宋体" w:cs="宋体"/>
          <w:color w:val="auto"/>
          <w:sz w:val="36"/>
          <w:szCs w:val="36"/>
          <w:highlight w:val="none"/>
        </w:rPr>
      </w:pPr>
    </w:p>
    <w:p w14:paraId="12712F5F">
      <w:pPr>
        <w:spacing w:line="480" w:lineRule="exact"/>
        <w:jc w:val="center"/>
        <w:rPr>
          <w:rFonts w:ascii="宋体" w:hAnsi="宋体" w:cs="宋体"/>
          <w:color w:val="auto"/>
          <w:sz w:val="36"/>
          <w:szCs w:val="36"/>
          <w:highlight w:val="none"/>
        </w:rPr>
      </w:pPr>
      <w:r>
        <w:rPr>
          <w:rFonts w:hint="eastAsia" w:ascii="宋体" w:hAnsi="宋体" w:cs="宋体"/>
          <w:color w:val="auto"/>
          <w:sz w:val="36"/>
          <w:szCs w:val="36"/>
          <w:highlight w:val="none"/>
        </w:rPr>
        <w:t>常州市城投建设工程招标有限公司</w:t>
      </w:r>
    </w:p>
    <w:p w14:paraId="0096A9EC">
      <w:pPr>
        <w:jc w:val="center"/>
        <w:rPr>
          <w:rFonts w:ascii="宋体" w:hAnsi="宋体" w:cs="宋体"/>
          <w:color w:val="auto"/>
          <w:sz w:val="36"/>
          <w:szCs w:val="36"/>
          <w:highlight w:val="none"/>
        </w:rPr>
      </w:pPr>
    </w:p>
    <w:p w14:paraId="67678465">
      <w:pPr>
        <w:jc w:val="center"/>
        <w:rPr>
          <w:rFonts w:ascii="宋体" w:hAnsi="宋体" w:cs="宋体"/>
          <w:b/>
          <w:color w:val="auto"/>
          <w:sz w:val="30"/>
          <w:highlight w:val="none"/>
        </w:rPr>
      </w:pPr>
      <w:r>
        <w:rPr>
          <w:rFonts w:hint="eastAsia" w:ascii="宋体" w:hAnsi="宋体" w:cs="宋体"/>
          <w:color w:val="auto"/>
          <w:w w:val="90"/>
          <w:sz w:val="44"/>
          <w:szCs w:val="44"/>
          <w:highlight w:val="none"/>
        </w:rPr>
        <w:t>二〇二</w:t>
      </w:r>
      <w:r>
        <w:rPr>
          <w:rFonts w:hint="eastAsia" w:ascii="宋体" w:hAnsi="宋体" w:cs="宋体"/>
          <w:color w:val="auto"/>
          <w:w w:val="90"/>
          <w:sz w:val="44"/>
          <w:szCs w:val="44"/>
          <w:highlight w:val="none"/>
          <w:lang w:val="en-US" w:eastAsia="zh-CN"/>
        </w:rPr>
        <w:t>五</w:t>
      </w:r>
      <w:r>
        <w:rPr>
          <w:rFonts w:hint="eastAsia" w:ascii="宋体" w:hAnsi="宋体" w:cs="宋体"/>
          <w:color w:val="auto"/>
          <w:w w:val="90"/>
          <w:sz w:val="44"/>
          <w:szCs w:val="44"/>
          <w:highlight w:val="none"/>
        </w:rPr>
        <w:t>年</w:t>
      </w:r>
      <w:r>
        <w:rPr>
          <w:rFonts w:hint="eastAsia" w:ascii="宋体" w:hAnsi="宋体" w:cs="宋体"/>
          <w:color w:val="auto"/>
          <w:w w:val="90"/>
          <w:sz w:val="44"/>
          <w:szCs w:val="44"/>
          <w:highlight w:val="none"/>
          <w:lang w:val="en-US" w:eastAsia="zh-CN"/>
        </w:rPr>
        <w:t>七</w:t>
      </w:r>
      <w:r>
        <w:rPr>
          <w:rFonts w:hint="eastAsia" w:ascii="宋体" w:hAnsi="宋体" w:cs="宋体"/>
          <w:color w:val="auto"/>
          <w:w w:val="90"/>
          <w:sz w:val="44"/>
          <w:szCs w:val="44"/>
          <w:highlight w:val="none"/>
        </w:rPr>
        <w:t>月</w:t>
      </w:r>
    </w:p>
    <w:p w14:paraId="6573BE82">
      <w:pPr>
        <w:spacing w:before="100" w:after="240" w:line="500" w:lineRule="exact"/>
        <w:jc w:val="center"/>
        <w:rPr>
          <w:rFonts w:ascii="宋体" w:hAnsi="宋体" w:cs="宋体"/>
          <w:b/>
          <w:color w:val="auto"/>
          <w:sz w:val="44"/>
          <w:szCs w:val="44"/>
          <w:highlight w:val="none"/>
        </w:rPr>
      </w:pPr>
    </w:p>
    <w:p w14:paraId="2A272FFC">
      <w:pPr>
        <w:widowControl/>
        <w:jc w:val="left"/>
        <w:rPr>
          <w:rFonts w:ascii="宋体" w:hAnsi="宋体"/>
          <w:b/>
          <w:color w:val="auto"/>
          <w:sz w:val="28"/>
          <w:szCs w:val="28"/>
          <w:highlight w:val="none"/>
        </w:rPr>
      </w:pPr>
      <w:r>
        <w:rPr>
          <w:rFonts w:ascii="宋体" w:hAnsi="宋体"/>
          <w:b/>
          <w:color w:val="auto"/>
          <w:sz w:val="28"/>
          <w:szCs w:val="28"/>
          <w:highlight w:val="none"/>
        </w:rPr>
        <w:br w:type="page"/>
      </w:r>
    </w:p>
    <w:p w14:paraId="25C1A818">
      <w:pPr>
        <w:jc w:val="center"/>
        <w:outlineLvl w:val="1"/>
        <w:rPr>
          <w:rFonts w:ascii="黑体" w:hAnsi="黑体" w:eastAsia="黑体" w:cs="宋体"/>
          <w:b/>
          <w:color w:val="auto"/>
          <w:kern w:val="0"/>
          <w:sz w:val="44"/>
          <w:szCs w:val="44"/>
          <w:highlight w:val="none"/>
        </w:rPr>
      </w:pPr>
      <w:r>
        <w:rPr>
          <w:rFonts w:hint="eastAsia" w:ascii="黑体" w:hAnsi="黑体" w:eastAsia="黑体" w:cs="宋体"/>
          <w:b/>
          <w:color w:val="auto"/>
          <w:kern w:val="0"/>
          <w:sz w:val="44"/>
          <w:szCs w:val="44"/>
          <w:highlight w:val="none"/>
        </w:rPr>
        <w:t>常州市公安局警校关于模拟街区改造</w:t>
      </w:r>
      <w:r>
        <w:rPr>
          <w:rFonts w:hint="eastAsia" w:ascii="黑体" w:hAnsi="黑体" w:eastAsia="黑体" w:cs="宋体"/>
          <w:b/>
          <w:color w:val="auto"/>
          <w:kern w:val="0"/>
          <w:sz w:val="44"/>
          <w:szCs w:val="44"/>
          <w:highlight w:val="none"/>
          <w:lang w:val="en-US" w:eastAsia="zh-CN"/>
        </w:rPr>
        <w:t>项目</w:t>
      </w:r>
      <w:r>
        <w:rPr>
          <w:rFonts w:hint="eastAsia" w:ascii="黑体" w:hAnsi="黑体" w:eastAsia="黑体" w:cs="宋体"/>
          <w:b/>
          <w:color w:val="auto"/>
          <w:kern w:val="0"/>
          <w:sz w:val="44"/>
          <w:szCs w:val="44"/>
          <w:highlight w:val="none"/>
        </w:rPr>
        <w:t>询价公告</w:t>
      </w:r>
    </w:p>
    <w:p w14:paraId="75DE799F">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项目概况</w:t>
      </w:r>
    </w:p>
    <w:p w14:paraId="2589E355">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常州市公安局警校关于模拟街区改造</w:t>
      </w:r>
      <w:r>
        <w:rPr>
          <w:rFonts w:hint="eastAsia" w:ascii="仿宋" w:hAnsi="仿宋" w:eastAsia="仿宋"/>
          <w:color w:val="auto"/>
          <w:sz w:val="32"/>
          <w:szCs w:val="32"/>
          <w:highlight w:val="none"/>
        </w:rPr>
        <w:t>项目的潜在供应商应在常州市城投建设工程招标有限公司</w:t>
      </w:r>
      <w:r>
        <w:rPr>
          <w:rFonts w:hint="eastAsia" w:ascii="仿宋" w:hAnsi="仿宋" w:eastAsia="仿宋" w:cs="宋体"/>
          <w:color w:val="auto"/>
          <w:sz w:val="32"/>
          <w:szCs w:val="32"/>
          <w:highlight w:val="none"/>
        </w:rPr>
        <w:t>（http://www.czctzb.com/）</w:t>
      </w:r>
      <w:r>
        <w:rPr>
          <w:rFonts w:hint="eastAsia" w:ascii="仿宋" w:hAnsi="仿宋" w:eastAsia="仿宋"/>
          <w:color w:val="auto"/>
          <w:sz w:val="32"/>
          <w:szCs w:val="32"/>
          <w:highlight w:val="none"/>
        </w:rPr>
        <w:t>获取采购文件，并于</w:t>
      </w:r>
      <w:r>
        <w:rPr>
          <w:rFonts w:hint="eastAsia" w:ascii="仿宋" w:hAnsi="仿宋" w:eastAsia="仿宋"/>
          <w:color w:val="auto"/>
          <w:sz w:val="32"/>
          <w:szCs w:val="32"/>
          <w:highlight w:val="none"/>
          <w:lang w:val="en-US" w:eastAsia="zh-CN"/>
        </w:rPr>
        <w:t>2025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08</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14</w:t>
      </w:r>
      <w:r>
        <w:rPr>
          <w:rFonts w:hint="eastAsia" w:ascii="仿宋" w:hAnsi="仿宋" w:eastAsia="仿宋"/>
          <w:color w:val="auto"/>
          <w:sz w:val="32"/>
          <w:szCs w:val="32"/>
          <w:highlight w:val="none"/>
        </w:rPr>
        <w:t>点</w:t>
      </w:r>
      <w:r>
        <w:rPr>
          <w:rFonts w:hint="eastAsia" w:ascii="仿宋" w:hAnsi="仿宋" w:eastAsia="仿宋"/>
          <w:color w:val="auto"/>
          <w:sz w:val="32"/>
          <w:szCs w:val="32"/>
          <w:highlight w:val="none"/>
          <w:lang w:val="en-US" w:eastAsia="zh-CN"/>
        </w:rPr>
        <w:t>00</w:t>
      </w:r>
      <w:r>
        <w:rPr>
          <w:rFonts w:hint="eastAsia" w:ascii="仿宋" w:hAnsi="仿宋" w:eastAsia="仿宋"/>
          <w:color w:val="auto"/>
          <w:sz w:val="32"/>
          <w:szCs w:val="32"/>
          <w:highlight w:val="none"/>
        </w:rPr>
        <w:t>分</w:t>
      </w:r>
      <w:r>
        <w:rPr>
          <w:rFonts w:hint="eastAsia" w:ascii="仿宋" w:hAnsi="仿宋" w:eastAsia="仿宋"/>
          <w:color w:val="auto"/>
          <w:sz w:val="32"/>
          <w:szCs w:val="32"/>
          <w:highlight w:val="none"/>
        </w:rPr>
        <w:t>（北京时间）前提交响应</w:t>
      </w:r>
      <w:r>
        <w:rPr>
          <w:rFonts w:ascii="仿宋" w:hAnsi="仿宋" w:eastAsia="仿宋"/>
          <w:color w:val="auto"/>
          <w:sz w:val="32"/>
          <w:szCs w:val="32"/>
          <w:highlight w:val="none"/>
        </w:rPr>
        <w:t>文件</w:t>
      </w:r>
      <w:r>
        <w:rPr>
          <w:rFonts w:hint="eastAsia" w:ascii="仿宋" w:hAnsi="仿宋" w:eastAsia="仿宋"/>
          <w:color w:val="auto"/>
          <w:sz w:val="32"/>
          <w:szCs w:val="32"/>
          <w:highlight w:val="none"/>
        </w:rPr>
        <w:t>。</w:t>
      </w:r>
    </w:p>
    <w:p w14:paraId="6E8DA0F3">
      <w:pPr>
        <w:snapToGrid w:val="0"/>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一、项目基本情况</w:t>
      </w:r>
    </w:p>
    <w:p w14:paraId="107CFD89">
      <w:pPr>
        <w:snapToGrid w:val="0"/>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1.项目编号：</w:t>
      </w:r>
      <w:r>
        <w:rPr>
          <w:rFonts w:hint="eastAsia" w:ascii="仿宋" w:hAnsi="仿宋" w:eastAsia="仿宋"/>
          <w:bCs/>
          <w:color w:val="auto"/>
          <w:sz w:val="32"/>
          <w:szCs w:val="32"/>
          <w:highlight w:val="none"/>
          <w:lang w:eastAsia="zh-CN"/>
        </w:rPr>
        <w:t>CT-SX-2025074</w:t>
      </w:r>
    </w:p>
    <w:p w14:paraId="58797798">
      <w:pPr>
        <w:snapToGrid w:val="0"/>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项目名称：警校关于模拟街区改造项目</w:t>
      </w:r>
    </w:p>
    <w:p w14:paraId="4BD520C9">
      <w:pPr>
        <w:snapToGrid w:val="0"/>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3.采购方式：询价</w:t>
      </w:r>
    </w:p>
    <w:p w14:paraId="0DA7A50B">
      <w:pPr>
        <w:snapToGrid w:val="0"/>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4.预算金额：人民币18968</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元</w:t>
      </w:r>
    </w:p>
    <w:p w14:paraId="3FDDAF7E">
      <w:pPr>
        <w:snapToGrid w:val="0"/>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5.最高限价：人民币18968</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元</w:t>
      </w:r>
    </w:p>
    <w:p w14:paraId="65DB392A">
      <w:pPr>
        <w:snapToGrid w:val="0"/>
        <w:spacing w:line="600" w:lineRule="exact"/>
        <w:ind w:firstLine="640" w:firstLineChars="200"/>
        <w:rPr>
          <w:rFonts w:ascii="仿宋" w:hAnsi="仿宋" w:eastAsia="仿宋"/>
          <w:color w:val="auto"/>
          <w:spacing w:val="2"/>
          <w:sz w:val="32"/>
          <w:szCs w:val="32"/>
          <w:highlight w:val="none"/>
        </w:rPr>
      </w:pPr>
      <w:r>
        <w:rPr>
          <w:rFonts w:hint="eastAsia" w:ascii="仿宋" w:hAnsi="仿宋" w:eastAsia="仿宋"/>
          <w:color w:val="auto"/>
          <w:sz w:val="32"/>
          <w:szCs w:val="32"/>
          <w:highlight w:val="none"/>
        </w:rPr>
        <w:t>6.采购需求：</w:t>
      </w:r>
      <w:r>
        <w:rPr>
          <w:rFonts w:hint="eastAsia" w:ascii="仿宋" w:hAnsi="仿宋" w:eastAsia="仿宋"/>
          <w:color w:val="auto"/>
          <w:spacing w:val="2"/>
          <w:sz w:val="32"/>
          <w:szCs w:val="32"/>
          <w:highlight w:val="none"/>
        </w:rPr>
        <w:t>为进一步拓展警校模拟街区使用功能，打造一个能移动、多变化、可观摩的模拟警情训练场景，最大程度还原警情原貌，提升训练多样化、时效性和安全性，现对模拟街区进行改造。</w:t>
      </w:r>
    </w:p>
    <w:p w14:paraId="6E18E659">
      <w:pPr>
        <w:snapToGrid w:val="0"/>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7.</w:t>
      </w:r>
      <w:r>
        <w:rPr>
          <w:rFonts w:hint="eastAsia" w:ascii="仿宋" w:hAnsi="仿宋" w:eastAsia="仿宋"/>
          <w:color w:val="auto"/>
          <w:sz w:val="32"/>
          <w:szCs w:val="32"/>
          <w:highlight w:val="none"/>
        </w:rPr>
        <w:t>合同履行期限：合同签订后40天内完成项目建设。质保期为验收合格后两年。施工方案需经采购方审核后方可进行施工</w:t>
      </w:r>
      <w:r>
        <w:rPr>
          <w:rFonts w:hint="eastAsia" w:ascii="仿宋" w:hAnsi="仿宋" w:eastAsia="仿宋"/>
          <w:color w:val="auto"/>
          <w:sz w:val="32"/>
          <w:szCs w:val="32"/>
          <w:highlight w:val="none"/>
          <w:lang w:eastAsia="zh-CN"/>
        </w:rPr>
        <w:t>。</w:t>
      </w:r>
    </w:p>
    <w:p w14:paraId="7E365897">
      <w:pPr>
        <w:snapToGrid w:val="0"/>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8.本项目</w:t>
      </w:r>
      <w:r>
        <w:rPr>
          <w:rFonts w:hint="eastAsia" w:ascii="仿宋" w:hAnsi="仿宋" w:eastAsia="仿宋"/>
          <w:color w:val="auto"/>
          <w:sz w:val="32"/>
          <w:szCs w:val="32"/>
          <w:highlight w:val="none"/>
        </w:rPr>
        <w:t>不</w:t>
      </w:r>
      <w:r>
        <w:rPr>
          <w:rFonts w:hint="eastAsia" w:ascii="仿宋" w:hAnsi="仿宋" w:eastAsia="仿宋"/>
          <w:color w:val="auto"/>
          <w:sz w:val="32"/>
          <w:szCs w:val="32"/>
          <w:highlight w:val="none"/>
        </w:rPr>
        <w:t>接受联合体。</w:t>
      </w:r>
    </w:p>
    <w:p w14:paraId="57177E2E">
      <w:pPr>
        <w:adjustRightInd w:val="0"/>
        <w:spacing w:line="600" w:lineRule="exact"/>
        <w:ind w:firstLine="646" w:firstLineChars="201"/>
        <w:rPr>
          <w:rFonts w:ascii="仿宋" w:hAnsi="仿宋" w:eastAsia="仿宋" w:cs="Arial"/>
          <w:b/>
          <w:color w:val="auto"/>
          <w:kern w:val="0"/>
          <w:sz w:val="32"/>
          <w:szCs w:val="32"/>
          <w:highlight w:val="none"/>
        </w:rPr>
      </w:pPr>
      <w:r>
        <w:rPr>
          <w:rFonts w:hint="eastAsia" w:ascii="仿宋" w:hAnsi="仿宋" w:eastAsia="仿宋" w:cs="Arial"/>
          <w:b/>
          <w:color w:val="auto"/>
          <w:kern w:val="0"/>
          <w:sz w:val="32"/>
          <w:szCs w:val="32"/>
          <w:highlight w:val="none"/>
        </w:rPr>
        <w:t xml:space="preserve">二、申请人的资格要求 </w:t>
      </w:r>
    </w:p>
    <w:p w14:paraId="0BBBEB6B">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1.</w:t>
      </w:r>
      <w:r>
        <w:rPr>
          <w:rFonts w:hint="eastAsia" w:ascii="仿宋" w:hAnsi="仿宋" w:eastAsia="仿宋" w:cs="宋体"/>
          <w:color w:val="auto"/>
          <w:sz w:val="32"/>
          <w:szCs w:val="32"/>
          <w:highlight w:val="none"/>
        </w:rPr>
        <w:t>在中华人民共和国境内注册，</w:t>
      </w:r>
      <w:r>
        <w:rPr>
          <w:rFonts w:hint="eastAsia" w:ascii="仿宋" w:hAnsi="仿宋" w:eastAsia="仿宋" w:cs="宋体"/>
          <w:color w:val="auto"/>
          <w:sz w:val="32"/>
          <w:szCs w:val="32"/>
          <w:highlight w:val="none"/>
        </w:rPr>
        <w:t xml:space="preserve">具有独立承担民事责任的能力； </w:t>
      </w:r>
    </w:p>
    <w:p w14:paraId="03CBE994">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2.具有良好的商业信誉和健全的财务会计制度； </w:t>
      </w:r>
    </w:p>
    <w:p w14:paraId="32691009">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3.具有履行合同所必需的设备和专业技术能力； </w:t>
      </w:r>
    </w:p>
    <w:p w14:paraId="1C635EF2">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4.有依法缴纳税收和社会保障资金的良好记录； </w:t>
      </w:r>
    </w:p>
    <w:p w14:paraId="7654A974">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5.参加采购活动前三年内，在经营活动中没有重大违法记录； </w:t>
      </w:r>
    </w:p>
    <w:p w14:paraId="1286326F">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6.法律、行政法规规定的其他条件；</w:t>
      </w:r>
    </w:p>
    <w:p w14:paraId="4949EEBE">
      <w:pPr>
        <w:spacing w:line="600" w:lineRule="exact"/>
        <w:ind w:firstLine="640" w:firstLineChars="2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7.单位负责人为同一人或者存在直接控股、管理关系的不同供应商，不得参加同一合同项下的采购活动；</w:t>
      </w:r>
    </w:p>
    <w:p w14:paraId="631CA50E">
      <w:pPr>
        <w:spacing w:line="600" w:lineRule="exact"/>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rPr>
        <w:t>8.未被“信用中国”网站（www.creditchina.gov.cn）列入失信被执行人、重大税收违法案件当事人名单、严重失信行为记录名单</w:t>
      </w:r>
      <w:r>
        <w:rPr>
          <w:rFonts w:hint="eastAsia" w:ascii="仿宋" w:hAnsi="仿宋" w:eastAsia="仿宋" w:cs="宋体"/>
          <w:color w:val="auto"/>
          <w:sz w:val="32"/>
          <w:szCs w:val="32"/>
          <w:highlight w:val="none"/>
          <w:lang w:eastAsia="zh-CN"/>
        </w:rPr>
        <w:t>；</w:t>
      </w:r>
    </w:p>
    <w:p w14:paraId="407AC387">
      <w:pPr>
        <w:spacing w:line="600" w:lineRule="exact"/>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lang w:val="en-US" w:eastAsia="zh-CN"/>
        </w:rPr>
        <w:t>9.</w:t>
      </w:r>
      <w:r>
        <w:rPr>
          <w:rFonts w:hint="eastAsia" w:ascii="仿宋" w:hAnsi="仿宋" w:eastAsia="仿宋" w:cs="宋体"/>
          <w:color w:val="auto"/>
          <w:sz w:val="32"/>
          <w:szCs w:val="32"/>
          <w:highlight w:val="none"/>
          <w:lang w:eastAsia="zh-CN"/>
        </w:rPr>
        <w:t>拟投入本项目的项目经理须具备建筑工程专业注册二级建造师及以上</w:t>
      </w:r>
      <w:r>
        <w:rPr>
          <w:rFonts w:hint="eastAsia" w:ascii="仿宋" w:hAnsi="仿宋" w:eastAsia="仿宋" w:cs="宋体"/>
          <w:color w:val="auto"/>
          <w:sz w:val="32"/>
          <w:szCs w:val="32"/>
          <w:highlight w:val="none"/>
          <w:lang w:val="en-US" w:eastAsia="zh-CN"/>
        </w:rPr>
        <w:t>资质</w:t>
      </w:r>
      <w:r>
        <w:rPr>
          <w:rFonts w:hint="eastAsia" w:ascii="仿宋" w:hAnsi="仿宋" w:eastAsia="仿宋" w:cs="宋体"/>
          <w:color w:val="auto"/>
          <w:sz w:val="32"/>
          <w:szCs w:val="32"/>
          <w:highlight w:val="none"/>
          <w:lang w:eastAsia="zh-CN"/>
        </w:rPr>
        <w:t>和《建筑施工企业项目负责人安全生产考核合格证书》(B证)(须提供本单位为其缴纳的最近一期社保证明);</w:t>
      </w:r>
    </w:p>
    <w:p w14:paraId="644F2A09">
      <w:pPr>
        <w:spacing w:line="600" w:lineRule="exact"/>
        <w:ind w:firstLine="640" w:firstLineChars="20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lang w:val="en-US" w:eastAsia="zh-CN"/>
        </w:rPr>
        <w:t>10</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供应商</w:t>
      </w:r>
      <w:r>
        <w:rPr>
          <w:rFonts w:hint="eastAsia" w:ascii="仿宋" w:hAnsi="仿宋" w:eastAsia="仿宋" w:cs="宋体"/>
          <w:color w:val="auto"/>
          <w:sz w:val="32"/>
          <w:szCs w:val="32"/>
          <w:highlight w:val="none"/>
          <w:lang w:eastAsia="zh-CN"/>
        </w:rPr>
        <w:t>具备有效的《安全生产许可证》。</w:t>
      </w:r>
    </w:p>
    <w:p w14:paraId="7B9B1EF9">
      <w:pPr>
        <w:spacing w:line="600" w:lineRule="exact"/>
        <w:ind w:firstLine="643" w:firstLineChars="200"/>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三、获取采购文件</w:t>
      </w:r>
    </w:p>
    <w:p w14:paraId="0653D4B6">
      <w:pPr>
        <w:spacing w:line="600" w:lineRule="exact"/>
        <w:ind w:firstLine="640" w:firstLineChars="200"/>
        <w:rPr>
          <w:rFonts w:hint="eastAsia" w:ascii="仿宋" w:hAnsi="仿宋" w:eastAsia="仿宋" w:cs="宋体"/>
          <w:bCs/>
          <w:color w:val="auto"/>
          <w:kern w:val="0"/>
          <w:sz w:val="32"/>
          <w:szCs w:val="32"/>
          <w:highlight w:val="none"/>
          <w:lang w:eastAsia="zh-CN"/>
        </w:rPr>
      </w:pPr>
      <w:r>
        <w:rPr>
          <w:rFonts w:hint="eastAsia" w:ascii="仿宋" w:hAnsi="仿宋" w:eastAsia="仿宋" w:cs="宋体"/>
          <w:color w:val="auto"/>
          <w:sz w:val="32"/>
          <w:szCs w:val="32"/>
          <w:highlight w:val="none"/>
        </w:rPr>
        <w:t>1.时间：</w:t>
      </w:r>
      <w:r>
        <w:rPr>
          <w:rFonts w:ascii="仿宋" w:hAnsi="仿宋" w:eastAsia="仿宋" w:cs="宋体"/>
          <w:bCs/>
          <w:color w:val="auto"/>
          <w:kern w:val="0"/>
          <w:sz w:val="32"/>
          <w:szCs w:val="32"/>
          <w:highlight w:val="none"/>
        </w:rPr>
        <w:t>20</w:t>
      </w:r>
      <w:r>
        <w:rPr>
          <w:rFonts w:hint="eastAsia" w:ascii="仿宋" w:hAnsi="仿宋" w:eastAsia="仿宋" w:cs="宋体"/>
          <w:bCs/>
          <w:color w:val="auto"/>
          <w:kern w:val="0"/>
          <w:sz w:val="32"/>
          <w:szCs w:val="32"/>
          <w:highlight w:val="none"/>
          <w:lang w:val="en-US" w:eastAsia="zh-CN"/>
        </w:rPr>
        <w:t>25</w:t>
      </w:r>
      <w:r>
        <w:rPr>
          <w:rFonts w:hint="eastAsia" w:ascii="仿宋" w:hAnsi="仿宋" w:eastAsia="仿宋" w:cs="宋体"/>
          <w:bCs/>
          <w:color w:val="auto"/>
          <w:kern w:val="0"/>
          <w:sz w:val="32"/>
          <w:szCs w:val="32"/>
          <w:highlight w:val="none"/>
        </w:rPr>
        <w:t>年</w:t>
      </w:r>
      <w:r>
        <w:rPr>
          <w:rFonts w:hint="eastAsia" w:ascii="仿宋" w:hAnsi="仿宋" w:eastAsia="仿宋" w:cs="宋体"/>
          <w:bCs/>
          <w:color w:val="auto"/>
          <w:kern w:val="0"/>
          <w:sz w:val="32"/>
          <w:szCs w:val="32"/>
          <w:highlight w:val="none"/>
          <w:lang w:val="en-US" w:eastAsia="zh-CN"/>
        </w:rPr>
        <w:t>07</w:t>
      </w:r>
      <w:r>
        <w:rPr>
          <w:rFonts w:hint="eastAsia" w:ascii="仿宋" w:hAnsi="仿宋" w:eastAsia="仿宋" w:cs="宋体"/>
          <w:bCs/>
          <w:color w:val="auto"/>
          <w:kern w:val="0"/>
          <w:sz w:val="32"/>
          <w:szCs w:val="32"/>
          <w:highlight w:val="none"/>
        </w:rPr>
        <w:t>月</w:t>
      </w:r>
      <w:r>
        <w:rPr>
          <w:rFonts w:hint="eastAsia" w:ascii="仿宋" w:hAnsi="仿宋" w:eastAsia="仿宋" w:cs="宋体"/>
          <w:bCs/>
          <w:color w:val="auto"/>
          <w:kern w:val="0"/>
          <w:sz w:val="32"/>
          <w:szCs w:val="32"/>
          <w:highlight w:val="none"/>
          <w:lang w:val="en-US" w:eastAsia="zh-CN"/>
        </w:rPr>
        <w:t>30</w:t>
      </w:r>
      <w:r>
        <w:rPr>
          <w:rFonts w:hint="eastAsia" w:ascii="仿宋" w:hAnsi="仿宋" w:eastAsia="仿宋" w:cs="宋体"/>
          <w:bCs/>
          <w:color w:val="auto"/>
          <w:kern w:val="0"/>
          <w:sz w:val="32"/>
          <w:szCs w:val="32"/>
          <w:highlight w:val="none"/>
        </w:rPr>
        <w:t>日</w:t>
      </w:r>
      <w:r>
        <w:rPr>
          <w:rFonts w:hint="eastAsia" w:ascii="仿宋" w:hAnsi="仿宋" w:eastAsia="仿宋" w:cs="宋体"/>
          <w:bCs/>
          <w:color w:val="auto"/>
          <w:kern w:val="0"/>
          <w:sz w:val="32"/>
          <w:szCs w:val="32"/>
          <w:highlight w:val="none"/>
          <w:lang w:val="en-US" w:eastAsia="zh-CN"/>
        </w:rPr>
        <w:t>起</w:t>
      </w:r>
      <w:bookmarkStart w:id="0" w:name="_GoBack"/>
      <w:bookmarkEnd w:id="0"/>
    </w:p>
    <w:p w14:paraId="60808ED1">
      <w:pPr>
        <w:spacing w:line="600" w:lineRule="exact"/>
        <w:ind w:firstLine="640" w:firstLineChars="200"/>
        <w:rPr>
          <w:rFonts w:hint="eastAsia" w:ascii="仿宋" w:hAnsi="仿宋" w:eastAsia="仿宋" w:cs="宋体"/>
          <w:color w:val="auto"/>
          <w:sz w:val="32"/>
          <w:szCs w:val="32"/>
          <w:highlight w:val="none"/>
          <w:lang w:eastAsia="zh-CN"/>
        </w:rPr>
      </w:pPr>
      <w:r>
        <w:rPr>
          <w:rFonts w:ascii="仿宋" w:hAnsi="仿宋" w:eastAsia="仿宋" w:cs="宋体"/>
          <w:color w:val="auto"/>
          <w:sz w:val="32"/>
          <w:szCs w:val="32"/>
          <w:highlight w:val="none"/>
        </w:rPr>
        <w:t>2.</w:t>
      </w:r>
      <w:r>
        <w:rPr>
          <w:rFonts w:hint="eastAsia" w:ascii="仿宋" w:hAnsi="仿宋" w:eastAsia="仿宋" w:cs="宋体"/>
          <w:color w:val="auto"/>
          <w:sz w:val="32"/>
          <w:szCs w:val="32"/>
          <w:highlight w:val="none"/>
        </w:rPr>
        <w:t>地点：常州市城投建设工程招标有限公司</w:t>
      </w:r>
      <w:r>
        <w:rPr>
          <w:rFonts w:hint="eastAsia" w:ascii="仿宋" w:hAnsi="仿宋" w:eastAsia="仿宋" w:cs="宋体"/>
          <w:color w:val="auto"/>
          <w:sz w:val="32"/>
          <w:szCs w:val="32"/>
          <w:highlight w:val="none"/>
          <w:lang w:eastAsia="zh-CN"/>
        </w:rPr>
        <w:t>网站</w:t>
      </w:r>
    </w:p>
    <w:p w14:paraId="31382B8C">
      <w:pPr>
        <w:spacing w:line="600" w:lineRule="exact"/>
        <w:ind w:firstLine="640" w:firstLineChars="200"/>
        <w:rPr>
          <w:rFonts w:ascii="仿宋" w:hAnsi="仿宋" w:eastAsia="仿宋" w:cs="宋体"/>
          <w:bCs/>
          <w:color w:val="auto"/>
          <w:sz w:val="32"/>
          <w:szCs w:val="32"/>
          <w:highlight w:val="none"/>
        </w:rPr>
      </w:pPr>
      <w:r>
        <w:rPr>
          <w:rFonts w:hint="eastAsia" w:ascii="仿宋" w:hAnsi="仿宋" w:eastAsia="仿宋" w:cs="宋体"/>
          <w:color w:val="00B0F0"/>
          <w:sz w:val="32"/>
          <w:szCs w:val="32"/>
          <w:highlight w:val="none"/>
        </w:rPr>
        <w:t>3.方式：</w:t>
      </w:r>
      <w:r>
        <w:rPr>
          <w:rFonts w:hint="eastAsia" w:ascii="仿宋" w:hAnsi="仿宋" w:eastAsia="仿宋" w:cs="宋体"/>
          <w:color w:val="00B0F0"/>
          <w:sz w:val="32"/>
          <w:szCs w:val="32"/>
          <w:highlight w:val="none"/>
          <w:lang w:eastAsia="zh-CN"/>
        </w:rPr>
        <w:t>直接下载，链接如下：</w:t>
      </w:r>
      <w:r>
        <w:rPr>
          <w:rFonts w:hint="eastAsia" w:ascii="仿宋" w:hAnsi="仿宋" w:eastAsia="仿宋" w:cs="宋体"/>
          <w:bCs/>
          <w:color w:val="auto"/>
          <w:sz w:val="32"/>
          <w:szCs w:val="32"/>
          <w:highlight w:val="none"/>
        </w:rPr>
        <w:t xml:space="preserve"> </w:t>
      </w:r>
    </w:p>
    <w:p w14:paraId="6F43CAAC">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四、响应文件提交</w:t>
      </w:r>
    </w:p>
    <w:p w14:paraId="2769B159">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截止时间：</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08</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14</w:t>
      </w:r>
      <w:r>
        <w:rPr>
          <w:rFonts w:hint="eastAsia" w:ascii="仿宋" w:hAnsi="仿宋" w:eastAsia="仿宋"/>
          <w:color w:val="auto"/>
          <w:sz w:val="32"/>
          <w:szCs w:val="32"/>
          <w:highlight w:val="none"/>
        </w:rPr>
        <w:t>点</w:t>
      </w:r>
      <w:r>
        <w:rPr>
          <w:rFonts w:hint="eastAsia" w:ascii="仿宋" w:hAnsi="仿宋" w:eastAsia="仿宋"/>
          <w:color w:val="auto"/>
          <w:sz w:val="32"/>
          <w:szCs w:val="32"/>
          <w:highlight w:val="none"/>
          <w:lang w:val="en-US" w:eastAsia="zh-CN"/>
        </w:rPr>
        <w:t>00</w:t>
      </w:r>
      <w:r>
        <w:rPr>
          <w:rFonts w:hint="eastAsia" w:ascii="仿宋" w:hAnsi="仿宋" w:eastAsia="仿宋"/>
          <w:color w:val="auto"/>
          <w:sz w:val="32"/>
          <w:szCs w:val="32"/>
          <w:highlight w:val="none"/>
        </w:rPr>
        <w:t>分（北京时间）</w:t>
      </w:r>
    </w:p>
    <w:p w14:paraId="4C118CF4">
      <w:pPr>
        <w:spacing w:line="600" w:lineRule="exact"/>
        <w:ind w:firstLine="640" w:firstLineChars="200"/>
        <w:rPr>
          <w:rFonts w:ascii="仿宋" w:hAnsi="仿宋" w:eastAsia="仿宋"/>
          <w:bCs/>
          <w:color w:val="auto"/>
          <w:sz w:val="32"/>
          <w:szCs w:val="32"/>
          <w:highlight w:val="none"/>
        </w:rPr>
      </w:pPr>
      <w:r>
        <w:rPr>
          <w:rFonts w:hint="eastAsia" w:ascii="仿宋" w:hAnsi="仿宋" w:eastAsia="仿宋"/>
          <w:color w:val="auto"/>
          <w:sz w:val="32"/>
          <w:szCs w:val="32"/>
          <w:highlight w:val="none"/>
        </w:rPr>
        <w:t>地点：常州市城投建设工程招标有限公司</w:t>
      </w:r>
      <w:r>
        <w:rPr>
          <w:rFonts w:hint="eastAsia" w:ascii="仿宋" w:hAnsi="仿宋" w:eastAsia="仿宋" w:cs="宋体"/>
          <w:color w:val="auto"/>
          <w:sz w:val="32"/>
          <w:szCs w:val="32"/>
          <w:highlight w:val="none"/>
        </w:rPr>
        <w:t>（常州市新北区通江中路396号中创大厦4楼）</w:t>
      </w:r>
    </w:p>
    <w:p w14:paraId="3F1EA513">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五、开启</w:t>
      </w:r>
    </w:p>
    <w:p w14:paraId="06B3CEA8">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时间：</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08</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14</w:t>
      </w:r>
      <w:r>
        <w:rPr>
          <w:rFonts w:hint="eastAsia" w:ascii="仿宋" w:hAnsi="仿宋" w:eastAsia="仿宋"/>
          <w:color w:val="auto"/>
          <w:sz w:val="32"/>
          <w:szCs w:val="32"/>
          <w:highlight w:val="none"/>
        </w:rPr>
        <w:t>点</w:t>
      </w:r>
      <w:r>
        <w:rPr>
          <w:rFonts w:hint="eastAsia" w:ascii="仿宋" w:hAnsi="仿宋" w:eastAsia="仿宋"/>
          <w:color w:val="auto"/>
          <w:sz w:val="32"/>
          <w:szCs w:val="32"/>
          <w:highlight w:val="none"/>
          <w:lang w:val="en-US" w:eastAsia="zh-CN"/>
        </w:rPr>
        <w:t>00</w:t>
      </w:r>
      <w:r>
        <w:rPr>
          <w:rFonts w:hint="eastAsia" w:ascii="仿宋" w:hAnsi="仿宋" w:eastAsia="仿宋"/>
          <w:color w:val="auto"/>
          <w:sz w:val="32"/>
          <w:szCs w:val="32"/>
          <w:highlight w:val="none"/>
        </w:rPr>
        <w:t>分（北京时间）</w:t>
      </w:r>
    </w:p>
    <w:p w14:paraId="4B3F6191">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地点：常州市城投建设工程招标有限公司</w:t>
      </w:r>
      <w:r>
        <w:rPr>
          <w:rFonts w:hint="eastAsia" w:ascii="仿宋" w:hAnsi="仿宋" w:eastAsia="仿宋" w:cs="宋体"/>
          <w:color w:val="auto"/>
          <w:sz w:val="32"/>
          <w:szCs w:val="32"/>
          <w:highlight w:val="none"/>
        </w:rPr>
        <w:t>（常州市新北区通江中路396号中创大厦4楼）</w:t>
      </w:r>
    </w:p>
    <w:p w14:paraId="4D8F4BFF">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六、公告期限</w:t>
      </w:r>
    </w:p>
    <w:p w14:paraId="22C0A2D4">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自本公告发布之日起3个工作日。</w:t>
      </w:r>
    </w:p>
    <w:p w14:paraId="5A001E48">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七、其他补充事宜</w:t>
      </w:r>
    </w:p>
    <w:p w14:paraId="5C711449">
      <w:pPr>
        <w:spacing w:line="600" w:lineRule="exact"/>
        <w:ind w:firstLine="640" w:firstLineChars="200"/>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lang w:val="en-US" w:eastAsia="zh-CN"/>
        </w:rPr>
        <w:t>1.</w:t>
      </w:r>
      <w:r>
        <w:rPr>
          <w:rFonts w:hint="eastAsia" w:ascii="仿宋" w:hAnsi="仿宋" w:eastAsia="仿宋"/>
          <w:bCs/>
          <w:color w:val="auto"/>
          <w:sz w:val="32"/>
          <w:szCs w:val="32"/>
          <w:highlight w:val="none"/>
        </w:rPr>
        <w:t>本项目不组织现场踏勘，供应商自行踏勘现场。</w:t>
      </w:r>
    </w:p>
    <w:p w14:paraId="544795F4">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参加询价的供应商若认为询价文件的资格要求和技术要求有倾向性或不公正性，可在响应文件提交截止期2日前以书面形式向常州市城投建设工程招标有限公司提出。对于未提出澄清要求又参与了该项目的供应商将被视为完全认同该询价文件，响应文件提交截止期后不再受理针对询价文件的相关质疑和投诉。传真:0519-81580105，</w:t>
      </w:r>
      <w:r>
        <w:rPr>
          <w:rFonts w:ascii="仿宋" w:hAnsi="仿宋" w:eastAsia="仿宋"/>
          <w:color w:val="auto"/>
          <w:sz w:val="32"/>
          <w:szCs w:val="32"/>
          <w:highlight w:val="none"/>
        </w:rPr>
        <w:t>邮箱：</w:t>
      </w:r>
      <w:r>
        <w:rPr>
          <w:color w:val="auto"/>
          <w:highlight w:val="none"/>
        </w:rPr>
        <w:fldChar w:fldCharType="begin"/>
      </w:r>
      <w:r>
        <w:rPr>
          <w:color w:val="auto"/>
          <w:highlight w:val="none"/>
        </w:rPr>
        <w:instrText xml:space="preserve"> HYPERLINK "mailto:czctzb@163.com" </w:instrText>
      </w:r>
      <w:r>
        <w:rPr>
          <w:color w:val="auto"/>
          <w:highlight w:val="none"/>
        </w:rPr>
        <w:fldChar w:fldCharType="separate"/>
      </w:r>
      <w:r>
        <w:rPr>
          <w:rStyle w:val="30"/>
          <w:rFonts w:hint="eastAsia" w:ascii="仿宋" w:hAnsi="仿宋" w:eastAsia="仿宋"/>
          <w:color w:val="auto"/>
          <w:sz w:val="32"/>
          <w:szCs w:val="32"/>
          <w:highlight w:val="none"/>
        </w:rPr>
        <w:t>czctzb@163.com</w:t>
      </w:r>
      <w:r>
        <w:rPr>
          <w:rStyle w:val="30"/>
          <w:rFonts w:hint="eastAsia" w:ascii="仿宋" w:hAnsi="仿宋" w:eastAsia="仿宋"/>
          <w:color w:val="auto"/>
          <w:sz w:val="32"/>
          <w:szCs w:val="32"/>
          <w:highlight w:val="none"/>
        </w:rPr>
        <w:fldChar w:fldCharType="end"/>
      </w:r>
      <w:r>
        <w:rPr>
          <w:rFonts w:hint="eastAsia" w:ascii="仿宋" w:hAnsi="仿宋" w:eastAsia="仿宋"/>
          <w:color w:val="auto"/>
          <w:sz w:val="32"/>
          <w:szCs w:val="32"/>
          <w:highlight w:val="none"/>
        </w:rPr>
        <w:t>。</w:t>
      </w:r>
    </w:p>
    <w:p w14:paraId="457F5299">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八、凡对本次采购提出询问，请按以下方式联系。</w:t>
      </w:r>
    </w:p>
    <w:p w14:paraId="3AD7A832">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1.采购人信息</w:t>
      </w:r>
    </w:p>
    <w:p w14:paraId="07BEC204">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名    称：常州市公安局　　　　　　　　　　　　</w:t>
      </w:r>
    </w:p>
    <w:p w14:paraId="579BBE8B">
      <w:pPr>
        <w:snapToGrid w:val="0"/>
        <w:spacing w:line="600" w:lineRule="exact"/>
        <w:ind w:firstLine="640" w:firstLineChars="200"/>
        <w:rPr>
          <w:rFonts w:ascii="仿宋" w:hAnsi="仿宋" w:eastAsia="仿宋"/>
          <w:color w:val="auto"/>
          <w:spacing w:val="2"/>
          <w:sz w:val="32"/>
          <w:szCs w:val="32"/>
          <w:highlight w:val="none"/>
        </w:rPr>
      </w:pPr>
      <w:r>
        <w:rPr>
          <w:rFonts w:hint="eastAsia" w:ascii="仿宋" w:hAnsi="仿宋" w:eastAsia="仿宋"/>
          <w:color w:val="auto"/>
          <w:sz w:val="32"/>
          <w:szCs w:val="32"/>
          <w:highlight w:val="none"/>
        </w:rPr>
        <w:t>地    址：常州市新北区龙锦路1588号</w:t>
      </w:r>
    </w:p>
    <w:p w14:paraId="62EEA9D3">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联系方式：邵俊</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0519-81993183　　　　　</w:t>
      </w:r>
      <w:r>
        <w:rPr>
          <w:rFonts w:hint="eastAsia" w:ascii="仿宋" w:hAnsi="仿宋" w:eastAsia="仿宋"/>
          <w:color w:val="auto"/>
          <w:sz w:val="32"/>
          <w:szCs w:val="32"/>
          <w:highlight w:val="none"/>
        </w:rPr>
        <w:t xml:space="preserve">　 　　　 </w:t>
      </w:r>
    </w:p>
    <w:p w14:paraId="47B91BA6">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2.采购代理机构信息</w:t>
      </w:r>
    </w:p>
    <w:p w14:paraId="115E743D">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名    称：常州市城投建设工程招标有限公司　　　　　　　　　　　　</w:t>
      </w:r>
    </w:p>
    <w:p w14:paraId="390184F1">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地　　址：</w:t>
      </w:r>
      <w:r>
        <w:rPr>
          <w:rFonts w:hint="eastAsia" w:ascii="仿宋" w:hAnsi="仿宋" w:eastAsia="仿宋" w:cs="宋体"/>
          <w:color w:val="auto"/>
          <w:kern w:val="0"/>
          <w:sz w:val="32"/>
          <w:szCs w:val="32"/>
          <w:highlight w:val="none"/>
        </w:rPr>
        <w:t>常州市新北区通江中路396号中创大厦4楼</w:t>
      </w:r>
      <w:r>
        <w:rPr>
          <w:rFonts w:hint="eastAsia" w:ascii="仿宋" w:hAnsi="仿宋" w:eastAsia="仿宋"/>
          <w:color w:val="auto"/>
          <w:sz w:val="32"/>
          <w:szCs w:val="32"/>
          <w:highlight w:val="none"/>
        </w:rPr>
        <w:t>　　　　　　　　　　　　</w:t>
      </w:r>
    </w:p>
    <w:p w14:paraId="60E5657B">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联系方式：</w:t>
      </w:r>
      <w:r>
        <w:rPr>
          <w:rFonts w:hint="eastAsia" w:ascii="仿宋" w:hAnsi="仿宋" w:eastAsia="仿宋" w:cs="宋体"/>
          <w:color w:val="auto"/>
          <w:sz w:val="32"/>
          <w:szCs w:val="32"/>
          <w:highlight w:val="none"/>
        </w:rPr>
        <w:t>0519-815801</w:t>
      </w:r>
      <w:r>
        <w:rPr>
          <w:rFonts w:ascii="仿宋" w:hAnsi="仿宋" w:eastAsia="仿宋" w:cs="宋体"/>
          <w:color w:val="auto"/>
          <w:sz w:val="32"/>
          <w:szCs w:val="32"/>
          <w:highlight w:val="none"/>
        </w:rPr>
        <w:t>01</w:t>
      </w:r>
      <w:r>
        <w:rPr>
          <w:rFonts w:hint="eastAsia" w:ascii="仿宋" w:hAnsi="仿宋" w:eastAsia="仿宋"/>
          <w:color w:val="auto"/>
          <w:sz w:val="32"/>
          <w:szCs w:val="32"/>
          <w:highlight w:val="none"/>
        </w:rPr>
        <w:t>　　　　　　　　　　　　</w:t>
      </w:r>
    </w:p>
    <w:p w14:paraId="24390EB9">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3.项目联系方式</w:t>
      </w:r>
    </w:p>
    <w:p w14:paraId="56F0AFC6">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项目联系人：</w:t>
      </w:r>
      <w:r>
        <w:rPr>
          <w:rFonts w:hint="eastAsia" w:ascii="仿宋" w:hAnsi="仿宋" w:eastAsia="仿宋"/>
          <w:color w:val="auto"/>
          <w:sz w:val="32"/>
          <w:szCs w:val="32"/>
          <w:highlight w:val="none"/>
          <w:lang w:val="en-US" w:eastAsia="zh-CN"/>
        </w:rPr>
        <w:t>丁洁</w:t>
      </w:r>
    </w:p>
    <w:p w14:paraId="5A0C2C65">
      <w:pPr>
        <w:overflowPunct w:val="0"/>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电　　 话：</w:t>
      </w:r>
      <w:r>
        <w:rPr>
          <w:rFonts w:hint="eastAsia" w:ascii="仿宋" w:hAnsi="仿宋" w:eastAsia="仿宋" w:cs="宋体"/>
          <w:color w:val="auto"/>
          <w:sz w:val="32"/>
          <w:szCs w:val="32"/>
          <w:highlight w:val="none"/>
        </w:rPr>
        <w:t>0519-81580152  81580191  81580192（转分机号</w:t>
      </w:r>
      <w:r>
        <w:rPr>
          <w:rFonts w:hint="eastAsia" w:ascii="仿宋" w:hAnsi="仿宋" w:eastAsia="仿宋" w:cs="宋体"/>
          <w:color w:val="auto"/>
          <w:sz w:val="32"/>
          <w:szCs w:val="32"/>
          <w:highlight w:val="none"/>
          <w:lang w:val="en-US" w:eastAsia="zh-CN"/>
        </w:rPr>
        <w:t>6031</w:t>
      </w:r>
      <w:r>
        <w:rPr>
          <w:rFonts w:hint="eastAsia" w:ascii="仿宋" w:hAnsi="仿宋" w:eastAsia="仿宋" w:cs="宋体"/>
          <w:color w:val="auto"/>
          <w:sz w:val="32"/>
          <w:szCs w:val="32"/>
          <w:highlight w:val="none"/>
        </w:rPr>
        <w:t>）</w:t>
      </w:r>
      <w:r>
        <w:rPr>
          <w:rFonts w:hint="eastAsia" w:ascii="仿宋" w:hAnsi="仿宋" w:eastAsia="仿宋"/>
          <w:color w:val="auto"/>
          <w:sz w:val="32"/>
          <w:szCs w:val="32"/>
          <w:highlight w:val="none"/>
        </w:rPr>
        <w:t>　</w:t>
      </w:r>
    </w:p>
    <w:p w14:paraId="2B21293C">
      <w:pPr>
        <w:pStyle w:val="5"/>
        <w:rPr>
          <w:color w:val="auto"/>
          <w:highlight w:val="none"/>
        </w:rPr>
      </w:pPr>
    </w:p>
    <w:p w14:paraId="2FD60F63">
      <w:pPr>
        <w:rPr>
          <w:color w:val="auto"/>
          <w:highlight w:val="none"/>
        </w:rPr>
      </w:pPr>
    </w:p>
    <w:p w14:paraId="1AB6EE86">
      <w:pPr>
        <w:rPr>
          <w:color w:val="auto"/>
          <w:highlight w:val="none"/>
        </w:rPr>
      </w:pPr>
    </w:p>
    <w:p w14:paraId="4BFE8059">
      <w:pPr>
        <w:rPr>
          <w:color w:val="auto"/>
          <w:highlight w:val="none"/>
        </w:rPr>
      </w:pPr>
    </w:p>
    <w:p w14:paraId="6D7F460B">
      <w:pPr>
        <w:rPr>
          <w:color w:val="auto"/>
          <w:highlight w:val="none"/>
        </w:rPr>
      </w:pPr>
    </w:p>
    <w:p w14:paraId="7FD1320D">
      <w:pPr>
        <w:rPr>
          <w:color w:val="auto"/>
          <w:highlight w:val="none"/>
        </w:rPr>
      </w:pPr>
    </w:p>
    <w:p w14:paraId="5049EDC7">
      <w:pPr>
        <w:rPr>
          <w:color w:val="auto"/>
          <w:highlight w:val="none"/>
        </w:rPr>
      </w:pPr>
    </w:p>
    <w:p w14:paraId="7570E4D9">
      <w:pPr>
        <w:rPr>
          <w:color w:val="auto"/>
          <w:highlight w:val="none"/>
        </w:rPr>
      </w:pPr>
    </w:p>
    <w:p w14:paraId="4FF2ACBA">
      <w:pPr>
        <w:rPr>
          <w:color w:val="auto"/>
          <w:highlight w:val="none"/>
        </w:rPr>
      </w:pPr>
    </w:p>
    <w:p w14:paraId="4A9AA442">
      <w:pPr>
        <w:pStyle w:val="11"/>
        <w:spacing w:line="340" w:lineRule="exact"/>
        <w:rPr>
          <w:b/>
          <w:bCs/>
          <w:color w:val="auto"/>
          <w:highlight w:val="none"/>
        </w:rPr>
      </w:pPr>
    </w:p>
    <w:p w14:paraId="620FE66F">
      <w:pPr>
        <w:pStyle w:val="11"/>
        <w:spacing w:line="340" w:lineRule="exact"/>
        <w:jc w:val="center"/>
        <w:rPr>
          <w:b/>
          <w:bCs/>
          <w:color w:val="auto"/>
          <w:highlight w:val="none"/>
        </w:rPr>
      </w:pPr>
      <w:r>
        <w:rPr>
          <w:b/>
          <w:bCs/>
          <w:color w:val="auto"/>
          <w:highlight w:val="none"/>
        </w:rPr>
        <w:br w:type="page"/>
      </w:r>
    </w:p>
    <w:p w14:paraId="367518CA">
      <w:pPr>
        <w:jc w:val="center"/>
        <w:outlineLvl w:val="1"/>
        <w:rPr>
          <w:rFonts w:ascii="黑体" w:hAnsi="黑体" w:eastAsia="黑体" w:cs="宋体"/>
          <w:b/>
          <w:color w:val="auto"/>
          <w:kern w:val="0"/>
          <w:sz w:val="44"/>
          <w:szCs w:val="44"/>
          <w:highlight w:val="none"/>
        </w:rPr>
      </w:pPr>
      <w:r>
        <w:rPr>
          <w:rFonts w:hint="eastAsia" w:ascii="黑体" w:hAnsi="黑体" w:eastAsia="黑体" w:cs="宋体"/>
          <w:b/>
          <w:color w:val="auto"/>
          <w:kern w:val="0"/>
          <w:sz w:val="44"/>
          <w:szCs w:val="44"/>
          <w:highlight w:val="none"/>
        </w:rPr>
        <w:t>常州市公安局警校关于模拟街区改造</w:t>
      </w:r>
      <w:r>
        <w:rPr>
          <w:rFonts w:hint="eastAsia" w:ascii="黑体" w:hAnsi="黑体" w:eastAsia="黑体" w:cs="宋体"/>
          <w:b/>
          <w:color w:val="auto"/>
          <w:kern w:val="0"/>
          <w:sz w:val="44"/>
          <w:szCs w:val="44"/>
          <w:highlight w:val="none"/>
          <w:lang w:val="en-US" w:eastAsia="zh-CN"/>
        </w:rPr>
        <w:t>项目</w:t>
      </w:r>
      <w:r>
        <w:rPr>
          <w:rFonts w:hint="eastAsia" w:ascii="黑体" w:hAnsi="黑体" w:eastAsia="黑体" w:cs="宋体"/>
          <w:b/>
          <w:color w:val="auto"/>
          <w:kern w:val="0"/>
          <w:sz w:val="44"/>
          <w:szCs w:val="44"/>
          <w:highlight w:val="none"/>
        </w:rPr>
        <w:t>询价通知书</w:t>
      </w:r>
    </w:p>
    <w:p w14:paraId="5E3698E0">
      <w:pPr>
        <w:keepNext w:val="0"/>
        <w:keepLines w:val="0"/>
        <w:pageBreakBefore w:val="0"/>
        <w:widowControl w:val="0"/>
        <w:kinsoku/>
        <w:wordWrap/>
        <w:overflowPunct/>
        <w:topLinePunct w:val="0"/>
        <w:autoSpaceDE/>
        <w:autoSpaceDN/>
        <w:bidi w:val="0"/>
        <w:spacing w:line="360" w:lineRule="exact"/>
        <w:ind w:firstLine="422" w:firstLineChars="200"/>
        <w:textAlignment w:val="auto"/>
        <w:outlineLvl w:val="1"/>
        <w:rPr>
          <w:rFonts w:ascii="宋体" w:hAnsi="宋体" w:cs="宋体"/>
          <w:b/>
          <w:color w:val="auto"/>
          <w:kern w:val="0"/>
          <w:szCs w:val="21"/>
          <w:highlight w:val="none"/>
        </w:rPr>
      </w:pPr>
      <w:r>
        <w:rPr>
          <w:rFonts w:hint="eastAsia" w:ascii="宋体" w:hAnsi="宋体" w:cs="宋体"/>
          <w:b/>
          <w:color w:val="auto"/>
          <w:kern w:val="0"/>
          <w:szCs w:val="21"/>
          <w:highlight w:val="none"/>
          <w:lang w:eastAsia="zh-CN"/>
        </w:rPr>
        <w:t>一</w:t>
      </w:r>
      <w:r>
        <w:rPr>
          <w:rFonts w:hint="eastAsia" w:ascii="宋体" w:hAnsi="宋体" w:cs="宋体"/>
          <w:b/>
          <w:color w:val="auto"/>
          <w:kern w:val="0"/>
          <w:szCs w:val="21"/>
          <w:highlight w:val="none"/>
        </w:rPr>
        <w:t>、</w:t>
      </w:r>
      <w:r>
        <w:rPr>
          <w:rFonts w:ascii="宋体" w:hAnsi="宋体" w:cs="宋体"/>
          <w:b/>
          <w:color w:val="auto"/>
          <w:kern w:val="0"/>
          <w:szCs w:val="21"/>
          <w:highlight w:val="none"/>
        </w:rPr>
        <w:t>采购内容及要求</w:t>
      </w:r>
    </w:p>
    <w:p w14:paraId="2766E44D">
      <w:pPr>
        <w:keepNext w:val="0"/>
        <w:keepLines w:val="0"/>
        <w:pageBreakBefore w:val="0"/>
        <w:widowControl w:val="0"/>
        <w:kinsoku/>
        <w:wordWrap/>
        <w:overflowPunct/>
        <w:topLinePunct w:val="0"/>
        <w:autoSpaceDE/>
        <w:autoSpaceDN/>
        <w:bidi w:val="0"/>
        <w:spacing w:line="360" w:lineRule="exact"/>
        <w:ind w:firstLine="422" w:firstLineChars="200"/>
        <w:textAlignment w:val="auto"/>
        <w:outlineLvl w:val="1"/>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（一）采购清单</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58"/>
        <w:gridCol w:w="708"/>
        <w:gridCol w:w="4395"/>
        <w:gridCol w:w="1251"/>
        <w:gridCol w:w="733"/>
      </w:tblGrid>
      <w:tr w14:paraId="13F2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10" w:type="dxa"/>
            <w:vAlign w:val="center"/>
          </w:tcPr>
          <w:p w14:paraId="36373F6E">
            <w:pPr>
              <w:pStyle w:val="17"/>
              <w:tabs>
                <w:tab w:val="clear" w:pos="9345"/>
              </w:tabs>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1158" w:type="dxa"/>
            <w:vAlign w:val="center"/>
          </w:tcPr>
          <w:p w14:paraId="008934AF">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名称</w:t>
            </w:r>
          </w:p>
        </w:tc>
        <w:tc>
          <w:tcPr>
            <w:tcW w:w="708" w:type="dxa"/>
            <w:vAlign w:val="center"/>
          </w:tcPr>
          <w:p w14:paraId="2AB6C942">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单位</w:t>
            </w:r>
          </w:p>
        </w:tc>
        <w:tc>
          <w:tcPr>
            <w:tcW w:w="4395" w:type="dxa"/>
            <w:vAlign w:val="center"/>
          </w:tcPr>
          <w:p w14:paraId="4153BED9">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技术参数</w:t>
            </w:r>
          </w:p>
        </w:tc>
        <w:tc>
          <w:tcPr>
            <w:tcW w:w="1251" w:type="dxa"/>
            <w:vAlign w:val="center"/>
          </w:tcPr>
          <w:p w14:paraId="44CD4FF4">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图片</w:t>
            </w:r>
          </w:p>
        </w:tc>
        <w:tc>
          <w:tcPr>
            <w:tcW w:w="733" w:type="dxa"/>
            <w:vAlign w:val="center"/>
          </w:tcPr>
          <w:p w14:paraId="13811FF5">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r>
      <w:tr w14:paraId="05E4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4F35A04B">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158" w:type="dxa"/>
            <w:vAlign w:val="center"/>
          </w:tcPr>
          <w:p w14:paraId="575333CA">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A单元组件</w:t>
            </w:r>
          </w:p>
        </w:tc>
        <w:tc>
          <w:tcPr>
            <w:tcW w:w="708" w:type="dxa"/>
            <w:vAlign w:val="center"/>
          </w:tcPr>
          <w:p w14:paraId="2DF69E5B">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件</w:t>
            </w:r>
          </w:p>
        </w:tc>
        <w:tc>
          <w:tcPr>
            <w:tcW w:w="4395" w:type="dxa"/>
          </w:tcPr>
          <w:p w14:paraId="6925D7F5">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1.结构框架采用优质碳钢管焊接而成，结构强度高，可靠性强；</w:t>
            </w:r>
          </w:p>
          <w:p w14:paraId="6BDAB61B">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2.每块板墙外板由上下两块可拆卸板块组成，并支持灵活拆卸，实现多功能组合更换，门板可以实现快速插接安装，安装更便捷；可根据实际训练及场景要求，灵活更换透明板、铁网板、射击观察口板等。</w:t>
            </w:r>
          </w:p>
          <w:p w14:paraId="40891D6C">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3.每块门板配2个不锈钢拉手，方便安装搬运；</w:t>
            </w:r>
          </w:p>
          <w:p w14:paraId="673A9C90">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4.每块门板连接处采用插接式双向插接卡位，可单独拆卸，任意安装；</w:t>
            </w:r>
          </w:p>
          <w:p w14:paraId="4E952278">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5.框架整体焊接后，表面喷涂颜色做防锈处理；</w:t>
            </w:r>
          </w:p>
          <w:p w14:paraId="4A582D7C">
            <w:pPr>
              <w:rPr>
                <w:color w:val="auto"/>
                <w:highlight w:val="none"/>
              </w:rPr>
            </w:pPr>
            <w:r>
              <w:rPr>
                <w:rFonts w:hint="eastAsia" w:ascii="宋体" w:hAnsi="宋体" w:cs="宋体"/>
                <w:color w:val="auto"/>
                <w:sz w:val="18"/>
                <w:szCs w:val="18"/>
                <w:highlight w:val="none"/>
              </w:rPr>
              <w:t>6.尺寸规格：约2M*1M</w:t>
            </w:r>
          </w:p>
        </w:tc>
        <w:tc>
          <w:tcPr>
            <w:tcW w:w="1251" w:type="dxa"/>
            <w:vAlign w:val="center"/>
          </w:tcPr>
          <w:p w14:paraId="33D5CA5C">
            <w:pPr>
              <w:pStyle w:val="17"/>
              <w:jc w:val="center"/>
              <w:rPr>
                <w:rFonts w:ascii="宋体" w:hAnsi="宋体" w:cs="宋体"/>
                <w:color w:val="auto"/>
                <w:sz w:val="18"/>
                <w:szCs w:val="18"/>
                <w:highlight w:val="none"/>
              </w:rPr>
            </w:pPr>
            <w:r>
              <w:rPr>
                <w:rFonts w:ascii="宋体" w:hAnsi="宋体" w:cs="宋体"/>
                <w:color w:val="auto"/>
                <w:sz w:val="18"/>
                <w:szCs w:val="18"/>
                <w:highlight w:val="none"/>
              </w:rPr>
              <w:drawing>
                <wp:inline distT="0" distB="0" distL="0" distR="0">
                  <wp:extent cx="540385" cy="1004570"/>
                  <wp:effectExtent l="0" t="0" r="1206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385" cy="1004570"/>
                          </a:xfrm>
                          <a:prstGeom prst="rect">
                            <a:avLst/>
                          </a:prstGeom>
                          <a:noFill/>
                          <a:ln>
                            <a:noFill/>
                          </a:ln>
                        </pic:spPr>
                      </pic:pic>
                    </a:graphicData>
                  </a:graphic>
                </wp:inline>
              </w:drawing>
            </w:r>
          </w:p>
        </w:tc>
        <w:tc>
          <w:tcPr>
            <w:tcW w:w="733" w:type="dxa"/>
            <w:vAlign w:val="center"/>
          </w:tcPr>
          <w:p w14:paraId="2BC0FCDF">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83</w:t>
            </w:r>
          </w:p>
        </w:tc>
      </w:tr>
      <w:tr w14:paraId="7DB6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2D895612">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158" w:type="dxa"/>
            <w:vAlign w:val="center"/>
          </w:tcPr>
          <w:p w14:paraId="08B7C284">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B单元组件</w:t>
            </w:r>
          </w:p>
        </w:tc>
        <w:tc>
          <w:tcPr>
            <w:tcW w:w="708" w:type="dxa"/>
            <w:vAlign w:val="center"/>
          </w:tcPr>
          <w:p w14:paraId="0CADEA7E">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件</w:t>
            </w:r>
          </w:p>
        </w:tc>
        <w:tc>
          <w:tcPr>
            <w:tcW w:w="4395" w:type="dxa"/>
            <w:vAlign w:val="center"/>
          </w:tcPr>
          <w:p w14:paraId="0709A185">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1.结构框架采用优质碳钢管焊接而成，结构强度高，可靠性强；</w:t>
            </w:r>
          </w:p>
          <w:p w14:paraId="17861235">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2.带窗的板墙由两扇可以开启窗和固定门板组成，窗可以实现内外双向开启，最大开启角度0-180°，方向可调，实现对称互换性，安装便捷，维修更换方便；</w:t>
            </w:r>
          </w:p>
          <w:p w14:paraId="0D753926">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3.门板和窗分别采用4mm铝塑板和4mm有机玻璃板组合，更换及安装方便快捷；</w:t>
            </w:r>
          </w:p>
          <w:p w14:paraId="651E1BA1">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4.每块门板配2个不锈钢拉手，方便安装搬运；</w:t>
            </w:r>
          </w:p>
          <w:p w14:paraId="4F16CB80">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5.每块门板连接处采用插接式双向插接卡位，可单独拆卸，任意安装；</w:t>
            </w:r>
          </w:p>
          <w:p w14:paraId="3889C970">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6.框架整体焊接后，表面喷涂颜色做防锈处理；</w:t>
            </w:r>
          </w:p>
          <w:p w14:paraId="1901A2A9">
            <w:pPr>
              <w:rPr>
                <w:color w:val="auto"/>
                <w:highlight w:val="none"/>
              </w:rPr>
            </w:pPr>
            <w:r>
              <w:rPr>
                <w:rFonts w:hint="eastAsia" w:ascii="宋体" w:hAnsi="宋体" w:cs="宋体"/>
                <w:color w:val="auto"/>
                <w:sz w:val="18"/>
                <w:szCs w:val="18"/>
                <w:highlight w:val="none"/>
              </w:rPr>
              <w:t>7.尺寸规格：2M*1M</w:t>
            </w:r>
          </w:p>
        </w:tc>
        <w:tc>
          <w:tcPr>
            <w:tcW w:w="1251" w:type="dxa"/>
            <w:vAlign w:val="center"/>
          </w:tcPr>
          <w:p w14:paraId="6EC9E01E">
            <w:pPr>
              <w:pStyle w:val="17"/>
              <w:jc w:val="center"/>
              <w:rPr>
                <w:rFonts w:ascii="宋体" w:hAnsi="宋体" w:cs="宋体"/>
                <w:color w:val="auto"/>
                <w:sz w:val="18"/>
                <w:szCs w:val="18"/>
                <w:highlight w:val="none"/>
              </w:rPr>
            </w:pPr>
            <w:r>
              <w:rPr>
                <w:rFonts w:ascii="宋体" w:hAnsi="宋体" w:cs="宋体"/>
                <w:color w:val="auto"/>
                <w:sz w:val="18"/>
                <w:szCs w:val="18"/>
                <w:highlight w:val="none"/>
              </w:rPr>
              <w:drawing>
                <wp:inline distT="0" distB="0" distL="0" distR="0">
                  <wp:extent cx="671830" cy="1274445"/>
                  <wp:effectExtent l="0" t="0" r="1397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71830" cy="1274445"/>
                          </a:xfrm>
                          <a:prstGeom prst="rect">
                            <a:avLst/>
                          </a:prstGeom>
                          <a:noFill/>
                          <a:ln>
                            <a:noFill/>
                          </a:ln>
                        </pic:spPr>
                      </pic:pic>
                    </a:graphicData>
                  </a:graphic>
                </wp:inline>
              </w:drawing>
            </w:r>
          </w:p>
        </w:tc>
        <w:tc>
          <w:tcPr>
            <w:tcW w:w="733" w:type="dxa"/>
            <w:vAlign w:val="center"/>
          </w:tcPr>
          <w:p w14:paraId="51A7DDFA">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r>
      <w:tr w14:paraId="481B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51F84A64">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158" w:type="dxa"/>
            <w:vAlign w:val="center"/>
          </w:tcPr>
          <w:p w14:paraId="3D4AAC7B">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C单元组件</w:t>
            </w:r>
          </w:p>
        </w:tc>
        <w:tc>
          <w:tcPr>
            <w:tcW w:w="708" w:type="dxa"/>
            <w:vAlign w:val="center"/>
          </w:tcPr>
          <w:p w14:paraId="74C7AF77">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件</w:t>
            </w:r>
          </w:p>
        </w:tc>
        <w:tc>
          <w:tcPr>
            <w:tcW w:w="4395" w:type="dxa"/>
          </w:tcPr>
          <w:p w14:paraId="2BA35EB2">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1.结构框架采用优质碳钢管焊接而成，结构强度高，可靠性强；</w:t>
            </w:r>
          </w:p>
          <w:p w14:paraId="35748CE2">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2.带门的板墙可以实现内外双向开启，方向可调，实现对称互换性，安装便捷，维修更换方便；</w:t>
            </w:r>
          </w:p>
          <w:p w14:paraId="534D991C">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3.门板和窗采用4mm有机玻璃和4mm铝塑板组合，最大开启角度0-180°，可以实现透明效果和不透明组合更换，安装更换便捷；</w:t>
            </w:r>
          </w:p>
          <w:p w14:paraId="62F7AD4C">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4.门板配有可调节旋转限位板；</w:t>
            </w:r>
          </w:p>
          <w:p w14:paraId="52C02C8D">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5.每块门板连接处采用插接式双向插接卡位，可单独拆卸，任意安装；</w:t>
            </w:r>
          </w:p>
          <w:p w14:paraId="317A054D">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6.门板底部撞击位置，设有撞击标识，破门而入时撞击可靠位置；</w:t>
            </w:r>
          </w:p>
          <w:p w14:paraId="312A19EA">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7.框架整体焊接后，表面喷涂颜色做防锈处理；</w:t>
            </w:r>
          </w:p>
          <w:p w14:paraId="3730EFAA">
            <w:pPr>
              <w:rPr>
                <w:color w:val="auto"/>
                <w:highlight w:val="none"/>
              </w:rPr>
            </w:pPr>
            <w:r>
              <w:rPr>
                <w:rFonts w:hint="eastAsia" w:ascii="宋体" w:hAnsi="宋体" w:cs="宋体"/>
                <w:color w:val="auto"/>
                <w:sz w:val="18"/>
                <w:szCs w:val="18"/>
                <w:highlight w:val="none"/>
              </w:rPr>
              <w:t>8.尺寸规格：2M*1M</w:t>
            </w:r>
          </w:p>
        </w:tc>
        <w:tc>
          <w:tcPr>
            <w:tcW w:w="1251" w:type="dxa"/>
            <w:vAlign w:val="center"/>
          </w:tcPr>
          <w:p w14:paraId="6B671570">
            <w:pPr>
              <w:pStyle w:val="17"/>
              <w:jc w:val="center"/>
              <w:rPr>
                <w:rFonts w:ascii="宋体" w:hAnsi="宋体" w:cs="宋体"/>
                <w:color w:val="auto"/>
                <w:sz w:val="18"/>
                <w:szCs w:val="18"/>
                <w:highlight w:val="none"/>
              </w:rPr>
            </w:pPr>
            <w:r>
              <w:rPr>
                <w:rFonts w:ascii="宋体" w:hAnsi="宋体" w:cs="宋体"/>
                <w:color w:val="auto"/>
                <w:sz w:val="18"/>
                <w:szCs w:val="18"/>
                <w:highlight w:val="none"/>
              </w:rPr>
              <w:drawing>
                <wp:inline distT="0" distB="0" distL="0" distR="0">
                  <wp:extent cx="671830" cy="1198245"/>
                  <wp:effectExtent l="0" t="0" r="1397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71830" cy="1198245"/>
                          </a:xfrm>
                          <a:prstGeom prst="rect">
                            <a:avLst/>
                          </a:prstGeom>
                          <a:noFill/>
                          <a:ln>
                            <a:noFill/>
                          </a:ln>
                        </pic:spPr>
                      </pic:pic>
                    </a:graphicData>
                  </a:graphic>
                </wp:inline>
              </w:drawing>
            </w:r>
          </w:p>
        </w:tc>
        <w:tc>
          <w:tcPr>
            <w:tcW w:w="733" w:type="dxa"/>
            <w:vAlign w:val="center"/>
          </w:tcPr>
          <w:p w14:paraId="6CAE4ADE">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r>
      <w:tr w14:paraId="2CB2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4F4CCD0A">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158" w:type="dxa"/>
            <w:vAlign w:val="center"/>
          </w:tcPr>
          <w:p w14:paraId="5062CB47">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90°单元组件</w:t>
            </w:r>
          </w:p>
        </w:tc>
        <w:tc>
          <w:tcPr>
            <w:tcW w:w="708" w:type="dxa"/>
            <w:vAlign w:val="center"/>
          </w:tcPr>
          <w:p w14:paraId="791D4A0A">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件</w:t>
            </w:r>
          </w:p>
        </w:tc>
        <w:tc>
          <w:tcPr>
            <w:tcW w:w="4395" w:type="dxa"/>
          </w:tcPr>
          <w:p w14:paraId="73AE6D5F">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1.结构框架采用优质碳钢管焊接而成，结构强度高，可靠性强；</w:t>
            </w:r>
          </w:p>
          <w:p w14:paraId="05A6CC94">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2.每个立柱连接处采用挂钩式双向插接卡位，材料优质碳钢板；</w:t>
            </w:r>
          </w:p>
          <w:p w14:paraId="6B02EF01">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3.90°单元组件可以实现拐角两两插接固定衔接，上下方向可以调节，每块立柱可以实现单独拆卸，更换和变换布局更加灵活；</w:t>
            </w:r>
          </w:p>
          <w:p w14:paraId="6A97DDC4">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4.框架整体焊接后，表面喷涂颜色做防锈处理；</w:t>
            </w:r>
          </w:p>
        </w:tc>
        <w:tc>
          <w:tcPr>
            <w:tcW w:w="1251" w:type="dxa"/>
            <w:vAlign w:val="center"/>
          </w:tcPr>
          <w:p w14:paraId="5F239153">
            <w:pPr>
              <w:pStyle w:val="17"/>
              <w:jc w:val="center"/>
              <w:rPr>
                <w:rFonts w:ascii="宋体" w:hAnsi="宋体" w:cs="宋体"/>
                <w:color w:val="auto"/>
                <w:sz w:val="18"/>
                <w:szCs w:val="18"/>
                <w:highlight w:val="none"/>
              </w:rPr>
            </w:pPr>
            <w:r>
              <w:rPr>
                <w:rFonts w:ascii="宋体" w:hAnsi="宋体" w:cs="宋体"/>
                <w:color w:val="auto"/>
                <w:sz w:val="18"/>
                <w:szCs w:val="18"/>
                <w:highlight w:val="none"/>
              </w:rPr>
              <w:drawing>
                <wp:inline distT="0" distB="0" distL="0" distR="0">
                  <wp:extent cx="187325" cy="810260"/>
                  <wp:effectExtent l="0" t="0" r="31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flipH="1">
                            <a:off x="0" y="0"/>
                            <a:ext cx="187325" cy="810260"/>
                          </a:xfrm>
                          <a:prstGeom prst="rect">
                            <a:avLst/>
                          </a:prstGeom>
                          <a:noFill/>
                          <a:ln>
                            <a:noFill/>
                          </a:ln>
                        </pic:spPr>
                      </pic:pic>
                    </a:graphicData>
                  </a:graphic>
                </wp:inline>
              </w:drawing>
            </w:r>
          </w:p>
        </w:tc>
        <w:tc>
          <w:tcPr>
            <w:tcW w:w="733" w:type="dxa"/>
            <w:vAlign w:val="center"/>
          </w:tcPr>
          <w:p w14:paraId="728B1748">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r>
      <w:tr w14:paraId="305B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52F927FE">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1158" w:type="dxa"/>
            <w:vAlign w:val="center"/>
          </w:tcPr>
          <w:p w14:paraId="3B801B08">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180°单元组件</w:t>
            </w:r>
          </w:p>
        </w:tc>
        <w:tc>
          <w:tcPr>
            <w:tcW w:w="708" w:type="dxa"/>
            <w:vAlign w:val="center"/>
          </w:tcPr>
          <w:p w14:paraId="3C99E0FE">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件</w:t>
            </w:r>
          </w:p>
        </w:tc>
        <w:tc>
          <w:tcPr>
            <w:tcW w:w="4395" w:type="dxa"/>
          </w:tcPr>
          <w:p w14:paraId="76593701">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1.结构框架采用优质碳钢管焊接而成，结构强度高，可靠性强；</w:t>
            </w:r>
          </w:p>
          <w:p w14:paraId="57A00D2F">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2.每个立柱连接处采用挂钩式双向插接卡位，材料优质碳钢板；</w:t>
            </w:r>
          </w:p>
          <w:p w14:paraId="3226AC9A">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3.180°单元组件可以实现拐角3扇门板插接固定衔接，每块立柱可以实现单独拆卸，更换和变换布局更加灵活；</w:t>
            </w:r>
          </w:p>
          <w:p w14:paraId="10B85256">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4.框架整体焊接后，表面喷涂颜色做防锈处理；</w:t>
            </w:r>
          </w:p>
        </w:tc>
        <w:tc>
          <w:tcPr>
            <w:tcW w:w="1251" w:type="dxa"/>
            <w:vAlign w:val="center"/>
          </w:tcPr>
          <w:p w14:paraId="0A3B5E2D">
            <w:pPr>
              <w:pStyle w:val="17"/>
              <w:jc w:val="center"/>
              <w:rPr>
                <w:rFonts w:ascii="宋体" w:hAnsi="宋体" w:cs="宋体"/>
                <w:color w:val="auto"/>
                <w:sz w:val="18"/>
                <w:szCs w:val="18"/>
                <w:highlight w:val="none"/>
              </w:rPr>
            </w:pPr>
            <w:r>
              <w:rPr>
                <w:rFonts w:ascii="宋体" w:hAnsi="宋体" w:cs="宋体"/>
                <w:color w:val="auto"/>
                <w:sz w:val="18"/>
                <w:szCs w:val="18"/>
                <w:highlight w:val="none"/>
              </w:rPr>
              <w:drawing>
                <wp:inline distT="0" distB="0" distL="0" distR="0">
                  <wp:extent cx="263525" cy="76200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3525" cy="762000"/>
                          </a:xfrm>
                          <a:prstGeom prst="rect">
                            <a:avLst/>
                          </a:prstGeom>
                          <a:noFill/>
                          <a:ln>
                            <a:noFill/>
                          </a:ln>
                        </pic:spPr>
                      </pic:pic>
                    </a:graphicData>
                  </a:graphic>
                </wp:inline>
              </w:drawing>
            </w:r>
          </w:p>
        </w:tc>
        <w:tc>
          <w:tcPr>
            <w:tcW w:w="733" w:type="dxa"/>
            <w:vAlign w:val="center"/>
          </w:tcPr>
          <w:p w14:paraId="229888EA">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11</w:t>
            </w:r>
          </w:p>
        </w:tc>
      </w:tr>
      <w:tr w14:paraId="5A2D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48D6BC87">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1158" w:type="dxa"/>
            <w:vAlign w:val="center"/>
          </w:tcPr>
          <w:p w14:paraId="710B74F6">
            <w:pPr>
              <w:pStyle w:val="17"/>
              <w:jc w:val="center"/>
              <w:rPr>
                <w:rFonts w:ascii="宋体" w:hAnsi="宋体" w:cs="宋体"/>
                <w:color w:val="auto"/>
                <w:sz w:val="18"/>
                <w:szCs w:val="18"/>
                <w:highlight w:val="none"/>
              </w:rPr>
            </w:pPr>
            <w:r>
              <w:rPr>
                <w:rFonts w:hint="eastAsia"/>
                <w:color w:val="auto"/>
                <w:sz w:val="18"/>
                <w:szCs w:val="18"/>
                <w:highlight w:val="none"/>
              </w:rPr>
              <w:t>休息观摩棚</w:t>
            </w:r>
          </w:p>
        </w:tc>
        <w:tc>
          <w:tcPr>
            <w:tcW w:w="708" w:type="dxa"/>
            <w:vAlign w:val="center"/>
          </w:tcPr>
          <w:p w14:paraId="5F92ED1D">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套</w:t>
            </w:r>
          </w:p>
        </w:tc>
        <w:tc>
          <w:tcPr>
            <w:tcW w:w="4395" w:type="dxa"/>
            <w:vAlign w:val="center"/>
          </w:tcPr>
          <w:p w14:paraId="229F5305">
            <w:pPr>
              <w:pStyle w:val="17"/>
              <w:jc w:val="left"/>
              <w:rPr>
                <w:rFonts w:ascii="宋体" w:hAnsi="宋体" w:cs="宋体"/>
                <w:color w:val="auto"/>
                <w:sz w:val="18"/>
                <w:szCs w:val="18"/>
                <w:highlight w:val="none"/>
              </w:rPr>
            </w:pPr>
            <w:r>
              <w:rPr>
                <w:rFonts w:hint="eastAsia" w:ascii="宋体" w:hAnsi="宋体" w:cs="宋体"/>
                <w:color w:val="auto"/>
                <w:sz w:val="18"/>
                <w:szCs w:val="18"/>
                <w:highlight w:val="none"/>
              </w:rPr>
              <w:t>18m长、3m宽钢混结构，含基础安装和整体交付</w:t>
            </w:r>
          </w:p>
        </w:tc>
        <w:tc>
          <w:tcPr>
            <w:tcW w:w="1251" w:type="dxa"/>
            <w:vAlign w:val="center"/>
          </w:tcPr>
          <w:p w14:paraId="5540A65B">
            <w:pPr>
              <w:pStyle w:val="17"/>
              <w:jc w:val="center"/>
              <w:rPr>
                <w:rFonts w:ascii="宋体" w:hAnsi="宋体" w:cs="宋体"/>
                <w:color w:val="auto"/>
                <w:sz w:val="18"/>
                <w:szCs w:val="18"/>
                <w:highlight w:val="none"/>
              </w:rPr>
            </w:pPr>
            <w:r>
              <w:rPr>
                <w:rFonts w:ascii="宋体" w:hAnsi="宋体" w:cs="宋体"/>
                <w:color w:val="auto"/>
                <w:sz w:val="18"/>
                <w:szCs w:val="18"/>
                <w:highlight w:val="none"/>
              </w:rPr>
              <w:drawing>
                <wp:inline distT="0" distB="0" distL="0" distR="0">
                  <wp:extent cx="650875" cy="478155"/>
                  <wp:effectExtent l="0" t="0" r="1587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50875" cy="478155"/>
                          </a:xfrm>
                          <a:prstGeom prst="rect">
                            <a:avLst/>
                          </a:prstGeom>
                          <a:noFill/>
                          <a:ln>
                            <a:noFill/>
                          </a:ln>
                        </pic:spPr>
                      </pic:pic>
                    </a:graphicData>
                  </a:graphic>
                </wp:inline>
              </w:drawing>
            </w:r>
          </w:p>
        </w:tc>
        <w:tc>
          <w:tcPr>
            <w:tcW w:w="733" w:type="dxa"/>
            <w:vAlign w:val="center"/>
          </w:tcPr>
          <w:p w14:paraId="2C3ACC19">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r>
      <w:tr w14:paraId="55ED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2DC3F460">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1158" w:type="dxa"/>
            <w:vAlign w:val="center"/>
          </w:tcPr>
          <w:p w14:paraId="5182E270">
            <w:pPr>
              <w:pStyle w:val="17"/>
              <w:jc w:val="center"/>
              <w:rPr>
                <w:color w:val="auto"/>
                <w:sz w:val="18"/>
                <w:szCs w:val="18"/>
                <w:highlight w:val="none"/>
              </w:rPr>
            </w:pPr>
            <w:r>
              <w:rPr>
                <w:rFonts w:hint="eastAsia"/>
                <w:color w:val="auto"/>
                <w:sz w:val="18"/>
                <w:szCs w:val="18"/>
                <w:highlight w:val="none"/>
              </w:rPr>
              <w:t>模拟街区房屋修补和内部改造</w:t>
            </w:r>
          </w:p>
        </w:tc>
        <w:tc>
          <w:tcPr>
            <w:tcW w:w="708" w:type="dxa"/>
            <w:vAlign w:val="center"/>
          </w:tcPr>
          <w:p w14:paraId="2535BB2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m2</w:t>
            </w:r>
          </w:p>
        </w:tc>
        <w:tc>
          <w:tcPr>
            <w:tcW w:w="4395" w:type="dxa"/>
            <w:vAlign w:val="center"/>
          </w:tcPr>
          <w:p w14:paraId="195A9B0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30mm厚干硬性水泥砂浆粘结层;800*800地砖;白水泥擦缝</w:t>
            </w:r>
          </w:p>
        </w:tc>
        <w:tc>
          <w:tcPr>
            <w:tcW w:w="1251" w:type="dxa"/>
            <w:vAlign w:val="center"/>
          </w:tcPr>
          <w:p w14:paraId="43FACBD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地砖</w:t>
            </w:r>
          </w:p>
        </w:tc>
        <w:tc>
          <w:tcPr>
            <w:tcW w:w="733" w:type="dxa"/>
            <w:vAlign w:val="center"/>
          </w:tcPr>
          <w:p w14:paraId="076ABE9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36.4</w:t>
            </w:r>
          </w:p>
        </w:tc>
      </w:tr>
      <w:tr w14:paraId="5B63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17EC24DE">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1158" w:type="dxa"/>
            <w:vAlign w:val="center"/>
          </w:tcPr>
          <w:p w14:paraId="594F14F7">
            <w:pPr>
              <w:pStyle w:val="17"/>
              <w:jc w:val="center"/>
              <w:rPr>
                <w:color w:val="auto"/>
                <w:sz w:val="18"/>
                <w:szCs w:val="18"/>
                <w:highlight w:val="none"/>
              </w:rPr>
            </w:pPr>
            <w:r>
              <w:rPr>
                <w:rFonts w:hint="eastAsia"/>
                <w:color w:val="auto"/>
                <w:sz w:val="18"/>
                <w:szCs w:val="18"/>
                <w:highlight w:val="none"/>
              </w:rPr>
              <w:t>模拟街区房屋修补和内部改造</w:t>
            </w:r>
          </w:p>
        </w:tc>
        <w:tc>
          <w:tcPr>
            <w:tcW w:w="708" w:type="dxa"/>
            <w:vAlign w:val="center"/>
          </w:tcPr>
          <w:p w14:paraId="49E42A0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m2</w:t>
            </w:r>
          </w:p>
        </w:tc>
        <w:tc>
          <w:tcPr>
            <w:tcW w:w="4395" w:type="dxa"/>
            <w:vAlign w:val="center"/>
          </w:tcPr>
          <w:p w14:paraId="512D811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原墙面乳胶漆铲除</w:t>
            </w:r>
          </w:p>
        </w:tc>
        <w:tc>
          <w:tcPr>
            <w:tcW w:w="1251" w:type="dxa"/>
            <w:vAlign w:val="center"/>
          </w:tcPr>
          <w:p w14:paraId="59BE7026">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铲除涂料</w:t>
            </w:r>
          </w:p>
        </w:tc>
        <w:tc>
          <w:tcPr>
            <w:tcW w:w="733" w:type="dxa"/>
            <w:vAlign w:val="center"/>
          </w:tcPr>
          <w:p w14:paraId="79E15A5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67.76</w:t>
            </w:r>
          </w:p>
        </w:tc>
      </w:tr>
      <w:tr w14:paraId="0EE6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1CEE50B2">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1158" w:type="dxa"/>
            <w:vAlign w:val="center"/>
          </w:tcPr>
          <w:p w14:paraId="7D9A8065">
            <w:pPr>
              <w:pStyle w:val="17"/>
              <w:jc w:val="center"/>
              <w:rPr>
                <w:color w:val="auto"/>
                <w:sz w:val="18"/>
                <w:szCs w:val="18"/>
                <w:highlight w:val="none"/>
              </w:rPr>
            </w:pPr>
            <w:r>
              <w:rPr>
                <w:rFonts w:hint="eastAsia"/>
                <w:color w:val="auto"/>
                <w:sz w:val="18"/>
                <w:szCs w:val="18"/>
                <w:highlight w:val="none"/>
              </w:rPr>
              <w:t>模拟街区房屋修补和内部改造</w:t>
            </w:r>
          </w:p>
        </w:tc>
        <w:tc>
          <w:tcPr>
            <w:tcW w:w="708" w:type="dxa"/>
            <w:vAlign w:val="center"/>
          </w:tcPr>
          <w:p w14:paraId="2B3CAAB0">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m2</w:t>
            </w:r>
          </w:p>
        </w:tc>
        <w:tc>
          <w:tcPr>
            <w:tcW w:w="4395" w:type="dxa"/>
            <w:vAlign w:val="center"/>
          </w:tcPr>
          <w:p w14:paraId="516CEF7D">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墙面:三遍刮腻子找平;乳胶漆三度(封底漆一道);</w:t>
            </w:r>
          </w:p>
        </w:tc>
        <w:tc>
          <w:tcPr>
            <w:tcW w:w="1251" w:type="dxa"/>
            <w:vAlign w:val="center"/>
          </w:tcPr>
          <w:p w14:paraId="5B2C682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墙面乳胶漆</w:t>
            </w:r>
          </w:p>
        </w:tc>
        <w:tc>
          <w:tcPr>
            <w:tcW w:w="733" w:type="dxa"/>
            <w:vAlign w:val="center"/>
          </w:tcPr>
          <w:p w14:paraId="51A5510D">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67.76</w:t>
            </w:r>
          </w:p>
        </w:tc>
      </w:tr>
      <w:tr w14:paraId="60C7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35213559">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1158" w:type="dxa"/>
            <w:vAlign w:val="center"/>
          </w:tcPr>
          <w:p w14:paraId="56087657">
            <w:pPr>
              <w:pStyle w:val="17"/>
              <w:jc w:val="center"/>
              <w:rPr>
                <w:color w:val="auto"/>
                <w:sz w:val="18"/>
                <w:szCs w:val="18"/>
                <w:highlight w:val="none"/>
              </w:rPr>
            </w:pPr>
            <w:r>
              <w:rPr>
                <w:rFonts w:hint="eastAsia"/>
                <w:color w:val="auto"/>
                <w:sz w:val="18"/>
                <w:szCs w:val="18"/>
                <w:highlight w:val="none"/>
              </w:rPr>
              <w:t>模拟街区房屋修补和内部改造</w:t>
            </w:r>
          </w:p>
        </w:tc>
        <w:tc>
          <w:tcPr>
            <w:tcW w:w="708" w:type="dxa"/>
            <w:vAlign w:val="center"/>
          </w:tcPr>
          <w:p w14:paraId="1DB0CDB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m</w:t>
            </w:r>
          </w:p>
        </w:tc>
        <w:tc>
          <w:tcPr>
            <w:tcW w:w="4395" w:type="dxa"/>
            <w:vAlign w:val="center"/>
          </w:tcPr>
          <w:p w14:paraId="22D16EE1">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2-3厚建筑陶瓷粘结剂;100mm瓷砖踢脚线安装(专用胶收口);</w:t>
            </w:r>
          </w:p>
        </w:tc>
        <w:tc>
          <w:tcPr>
            <w:tcW w:w="1251" w:type="dxa"/>
            <w:vAlign w:val="center"/>
          </w:tcPr>
          <w:p w14:paraId="57976F7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地砖踢脚线</w:t>
            </w:r>
          </w:p>
        </w:tc>
        <w:tc>
          <w:tcPr>
            <w:tcW w:w="733" w:type="dxa"/>
            <w:vAlign w:val="center"/>
          </w:tcPr>
          <w:p w14:paraId="679B7414">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24.2</w:t>
            </w:r>
          </w:p>
        </w:tc>
      </w:tr>
      <w:tr w14:paraId="4AA9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662D0138">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11</w:t>
            </w:r>
          </w:p>
        </w:tc>
        <w:tc>
          <w:tcPr>
            <w:tcW w:w="1158" w:type="dxa"/>
            <w:vAlign w:val="center"/>
          </w:tcPr>
          <w:p w14:paraId="6794B3D5">
            <w:pPr>
              <w:pStyle w:val="17"/>
              <w:jc w:val="center"/>
              <w:rPr>
                <w:color w:val="auto"/>
                <w:sz w:val="18"/>
                <w:szCs w:val="18"/>
                <w:highlight w:val="none"/>
              </w:rPr>
            </w:pPr>
            <w:r>
              <w:rPr>
                <w:rFonts w:hint="eastAsia"/>
                <w:color w:val="auto"/>
                <w:sz w:val="18"/>
                <w:szCs w:val="18"/>
                <w:highlight w:val="none"/>
              </w:rPr>
              <w:t>模拟街区房屋修补和内部改造</w:t>
            </w:r>
          </w:p>
        </w:tc>
        <w:tc>
          <w:tcPr>
            <w:tcW w:w="708" w:type="dxa"/>
            <w:vAlign w:val="center"/>
          </w:tcPr>
          <w:p w14:paraId="4EC3E13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c>
          <w:tcPr>
            <w:tcW w:w="4395" w:type="dxa"/>
            <w:vAlign w:val="center"/>
          </w:tcPr>
          <w:p w14:paraId="4BA32DCE">
            <w:pPr>
              <w:jc w:val="left"/>
              <w:rPr>
                <w:rFonts w:ascii="宋体" w:hAnsi="宋体" w:cs="宋体"/>
                <w:color w:val="auto"/>
                <w:sz w:val="18"/>
                <w:szCs w:val="18"/>
                <w:highlight w:val="none"/>
              </w:rPr>
            </w:pPr>
          </w:p>
        </w:tc>
        <w:tc>
          <w:tcPr>
            <w:tcW w:w="1251" w:type="dxa"/>
            <w:vAlign w:val="center"/>
          </w:tcPr>
          <w:p w14:paraId="4E210E3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改木门</w:t>
            </w:r>
          </w:p>
        </w:tc>
        <w:tc>
          <w:tcPr>
            <w:tcW w:w="733" w:type="dxa"/>
            <w:vAlign w:val="center"/>
          </w:tcPr>
          <w:p w14:paraId="652BB177">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r>
      <w:tr w14:paraId="29C0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692A5877">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12</w:t>
            </w:r>
          </w:p>
        </w:tc>
        <w:tc>
          <w:tcPr>
            <w:tcW w:w="1158" w:type="dxa"/>
            <w:vAlign w:val="center"/>
          </w:tcPr>
          <w:p w14:paraId="1890CB0A">
            <w:pPr>
              <w:pStyle w:val="17"/>
              <w:jc w:val="center"/>
              <w:rPr>
                <w:color w:val="auto"/>
                <w:sz w:val="18"/>
                <w:szCs w:val="18"/>
                <w:highlight w:val="none"/>
              </w:rPr>
            </w:pPr>
            <w:r>
              <w:rPr>
                <w:rFonts w:hint="eastAsia"/>
                <w:color w:val="auto"/>
                <w:sz w:val="18"/>
                <w:szCs w:val="18"/>
                <w:highlight w:val="none"/>
              </w:rPr>
              <w:t>模拟街区房屋修补和内部改造</w:t>
            </w:r>
          </w:p>
        </w:tc>
        <w:tc>
          <w:tcPr>
            <w:tcW w:w="708" w:type="dxa"/>
            <w:vAlign w:val="center"/>
          </w:tcPr>
          <w:p w14:paraId="05C9F123">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c>
          <w:tcPr>
            <w:tcW w:w="4395" w:type="dxa"/>
            <w:vAlign w:val="center"/>
          </w:tcPr>
          <w:p w14:paraId="2F348F87">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服务台拆除：3.8*0.681.05及拆除垃圾外运</w:t>
            </w:r>
          </w:p>
        </w:tc>
        <w:tc>
          <w:tcPr>
            <w:tcW w:w="1251" w:type="dxa"/>
            <w:vAlign w:val="center"/>
          </w:tcPr>
          <w:p w14:paraId="0E72F04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服务台拆除</w:t>
            </w:r>
          </w:p>
        </w:tc>
        <w:tc>
          <w:tcPr>
            <w:tcW w:w="733" w:type="dxa"/>
            <w:vAlign w:val="center"/>
          </w:tcPr>
          <w:p w14:paraId="6A78C382">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r>
      <w:tr w14:paraId="7ACA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5F6BE5B3">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13</w:t>
            </w:r>
          </w:p>
        </w:tc>
        <w:tc>
          <w:tcPr>
            <w:tcW w:w="1158" w:type="dxa"/>
            <w:vAlign w:val="center"/>
          </w:tcPr>
          <w:p w14:paraId="4957FCA9">
            <w:pPr>
              <w:pStyle w:val="17"/>
              <w:jc w:val="center"/>
              <w:rPr>
                <w:color w:val="auto"/>
                <w:sz w:val="18"/>
                <w:szCs w:val="18"/>
                <w:highlight w:val="none"/>
              </w:rPr>
            </w:pPr>
            <w:r>
              <w:rPr>
                <w:rFonts w:hint="eastAsia"/>
                <w:color w:val="auto"/>
                <w:sz w:val="18"/>
                <w:szCs w:val="18"/>
                <w:highlight w:val="none"/>
              </w:rPr>
              <w:t>模拟街区房屋修补和内部改造</w:t>
            </w:r>
          </w:p>
        </w:tc>
        <w:tc>
          <w:tcPr>
            <w:tcW w:w="708" w:type="dxa"/>
            <w:vAlign w:val="center"/>
          </w:tcPr>
          <w:p w14:paraId="4F84CA2B">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c>
          <w:tcPr>
            <w:tcW w:w="4395" w:type="dxa"/>
            <w:vAlign w:val="center"/>
          </w:tcPr>
          <w:p w14:paraId="344CA73E">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管内穿线;BV-3*2.5;铜芯;插座开关面吧，地插；</w:t>
            </w:r>
          </w:p>
        </w:tc>
        <w:tc>
          <w:tcPr>
            <w:tcW w:w="1251" w:type="dxa"/>
            <w:vAlign w:val="center"/>
          </w:tcPr>
          <w:p w14:paraId="7BB8C44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配管及配线</w:t>
            </w:r>
          </w:p>
        </w:tc>
        <w:tc>
          <w:tcPr>
            <w:tcW w:w="733" w:type="dxa"/>
            <w:vAlign w:val="center"/>
          </w:tcPr>
          <w:p w14:paraId="7A4E8798">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r>
      <w:tr w14:paraId="41DE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4119F5D7">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14</w:t>
            </w:r>
          </w:p>
        </w:tc>
        <w:tc>
          <w:tcPr>
            <w:tcW w:w="1158" w:type="dxa"/>
            <w:vAlign w:val="center"/>
          </w:tcPr>
          <w:p w14:paraId="1BF91FFC">
            <w:pPr>
              <w:pStyle w:val="17"/>
              <w:jc w:val="center"/>
              <w:rPr>
                <w:color w:val="auto"/>
                <w:sz w:val="18"/>
                <w:szCs w:val="18"/>
                <w:highlight w:val="none"/>
              </w:rPr>
            </w:pPr>
            <w:r>
              <w:rPr>
                <w:rFonts w:hint="eastAsia"/>
                <w:color w:val="auto"/>
                <w:sz w:val="18"/>
                <w:szCs w:val="18"/>
                <w:highlight w:val="none"/>
              </w:rPr>
              <w:t>模拟街区房屋修补和内部改造</w:t>
            </w:r>
          </w:p>
        </w:tc>
        <w:tc>
          <w:tcPr>
            <w:tcW w:w="708" w:type="dxa"/>
            <w:vAlign w:val="center"/>
          </w:tcPr>
          <w:p w14:paraId="3F4CC915">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项</w:t>
            </w:r>
          </w:p>
        </w:tc>
        <w:tc>
          <w:tcPr>
            <w:tcW w:w="4395" w:type="dxa"/>
            <w:vAlign w:val="center"/>
          </w:tcPr>
          <w:p w14:paraId="7FCB0FDA">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室内;污水;地面开槽;硬聚氯乙烯（PVC－U）排水管;DN50;承插连接;配套管件、配套胶水，粘结;闭水、通球、通水;</w:t>
            </w:r>
          </w:p>
        </w:tc>
        <w:tc>
          <w:tcPr>
            <w:tcW w:w="1251" w:type="dxa"/>
            <w:vAlign w:val="center"/>
          </w:tcPr>
          <w:p w14:paraId="2C2C2D9C">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空调水排污管</w:t>
            </w:r>
          </w:p>
        </w:tc>
        <w:tc>
          <w:tcPr>
            <w:tcW w:w="733" w:type="dxa"/>
            <w:vAlign w:val="center"/>
          </w:tcPr>
          <w:p w14:paraId="35DE8679">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r>
      <w:tr w14:paraId="3DB6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0" w:type="dxa"/>
            <w:vAlign w:val="center"/>
          </w:tcPr>
          <w:p w14:paraId="20F20F72">
            <w:pPr>
              <w:pStyle w:val="17"/>
              <w:jc w:val="center"/>
              <w:rPr>
                <w:rFonts w:ascii="宋体" w:hAnsi="宋体" w:cs="宋体"/>
                <w:color w:val="auto"/>
                <w:sz w:val="18"/>
                <w:szCs w:val="18"/>
                <w:highlight w:val="none"/>
              </w:rPr>
            </w:pPr>
            <w:r>
              <w:rPr>
                <w:rFonts w:hint="eastAsia" w:ascii="宋体" w:hAnsi="宋体" w:cs="宋体"/>
                <w:color w:val="auto"/>
                <w:sz w:val="18"/>
                <w:szCs w:val="18"/>
                <w:highlight w:val="none"/>
              </w:rPr>
              <w:t>15</w:t>
            </w:r>
          </w:p>
        </w:tc>
        <w:tc>
          <w:tcPr>
            <w:tcW w:w="1158" w:type="dxa"/>
            <w:vAlign w:val="center"/>
          </w:tcPr>
          <w:p w14:paraId="01473F91">
            <w:pPr>
              <w:pStyle w:val="17"/>
              <w:jc w:val="center"/>
              <w:rPr>
                <w:color w:val="auto"/>
                <w:sz w:val="18"/>
                <w:szCs w:val="18"/>
                <w:highlight w:val="none"/>
              </w:rPr>
            </w:pPr>
            <w:r>
              <w:rPr>
                <w:rFonts w:hint="eastAsia"/>
                <w:color w:val="auto"/>
                <w:sz w:val="18"/>
                <w:szCs w:val="18"/>
                <w:highlight w:val="none"/>
              </w:rPr>
              <w:t>模拟街区房屋修补和内部改造</w:t>
            </w:r>
          </w:p>
        </w:tc>
        <w:tc>
          <w:tcPr>
            <w:tcW w:w="708" w:type="dxa"/>
            <w:vAlign w:val="center"/>
          </w:tcPr>
          <w:p w14:paraId="255E452A">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c>
          <w:tcPr>
            <w:tcW w:w="4395" w:type="dxa"/>
            <w:vAlign w:val="center"/>
          </w:tcPr>
          <w:p w14:paraId="2C902B89">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吸顶灯</w:t>
            </w:r>
          </w:p>
        </w:tc>
        <w:tc>
          <w:tcPr>
            <w:tcW w:w="1251" w:type="dxa"/>
            <w:vAlign w:val="center"/>
          </w:tcPr>
          <w:p w14:paraId="31E2EC7E">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普通灯具</w:t>
            </w:r>
          </w:p>
        </w:tc>
        <w:tc>
          <w:tcPr>
            <w:tcW w:w="733" w:type="dxa"/>
            <w:vAlign w:val="center"/>
          </w:tcPr>
          <w:p w14:paraId="69976511">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r>
    </w:tbl>
    <w:p w14:paraId="2E175F87">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2" w:firstLineChars="200"/>
        <w:jc w:val="both"/>
        <w:textAlignment w:val="auto"/>
        <w:outlineLvl w:val="1"/>
        <w:rPr>
          <w:rFonts w:hint="eastAsia" w:ascii="宋体" w:hAnsi="宋体" w:cs="宋体"/>
          <w:b/>
          <w:bCs w:val="0"/>
          <w:color w:val="auto"/>
          <w:kern w:val="0"/>
          <w:szCs w:val="21"/>
          <w:highlight w:val="none"/>
          <w:lang w:eastAsia="zh-CN"/>
        </w:rPr>
      </w:pPr>
      <w:r>
        <w:rPr>
          <w:rFonts w:hint="eastAsia" w:ascii="宋体" w:hAnsi="宋体" w:cs="宋体"/>
          <w:b/>
          <w:bCs w:val="0"/>
          <w:color w:val="auto"/>
          <w:kern w:val="0"/>
          <w:szCs w:val="21"/>
          <w:highlight w:val="none"/>
          <w:lang w:eastAsia="zh-CN"/>
        </w:rPr>
        <w:t>基本要求</w:t>
      </w:r>
    </w:p>
    <w:p w14:paraId="1473A2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1.供应商应保证所供货物的安全性、可靠性、先进性、经济性和实用性，并为全新、未使用过的原装合格正品，完全符合</w:t>
      </w:r>
      <w:r>
        <w:rPr>
          <w:rFonts w:hint="eastAsia" w:ascii="宋体" w:hAnsi="宋体" w:cs="宋体"/>
          <w:b w:val="0"/>
          <w:bCs/>
          <w:color w:val="auto"/>
          <w:kern w:val="0"/>
          <w:szCs w:val="21"/>
          <w:highlight w:val="none"/>
          <w:lang w:eastAsia="zh-CN"/>
        </w:rPr>
        <w:t>询价通知书</w:t>
      </w:r>
      <w:r>
        <w:rPr>
          <w:rFonts w:hint="eastAsia" w:ascii="宋体" w:hAnsi="宋体" w:cs="宋体"/>
          <w:b w:val="0"/>
          <w:bCs/>
          <w:color w:val="auto"/>
          <w:kern w:val="0"/>
          <w:szCs w:val="21"/>
          <w:highlight w:val="none"/>
        </w:rPr>
        <w:t>规定的质量、规格和性能的要求，达到中国最新版的法律、法规或行业规定的相关标准、规范的要求，符合项目所在地政府有关特殊要求，同时满足采购人使用要求，保证能通过采购人的验收。</w:t>
      </w:r>
    </w:p>
    <w:p w14:paraId="6893778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14:paraId="47EBCEC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3.供应商成交后须与采购人在磋商产品的“功能配置、技术要求等”方面及时交底沟通；成交供应商开始制造</w:t>
      </w:r>
      <w:r>
        <w:rPr>
          <w:rFonts w:hint="eastAsia" w:ascii="宋体" w:hAnsi="宋体" w:cs="宋体"/>
          <w:b w:val="0"/>
          <w:bCs/>
          <w:color w:val="auto"/>
          <w:kern w:val="0"/>
          <w:szCs w:val="21"/>
          <w:highlight w:val="none"/>
          <w:lang w:eastAsia="zh-CN"/>
        </w:rPr>
        <w:t>或采购</w:t>
      </w:r>
      <w:r>
        <w:rPr>
          <w:rFonts w:hint="eastAsia" w:ascii="宋体" w:hAnsi="宋体" w:cs="宋体"/>
          <w:b w:val="0"/>
          <w:bCs/>
          <w:color w:val="auto"/>
          <w:kern w:val="0"/>
          <w:szCs w:val="21"/>
          <w:highlight w:val="none"/>
        </w:rPr>
        <w:t>产品之前，采购人有权要求成交供应商对产品进行微调，最终的产品须经采购人确认同意。</w:t>
      </w:r>
    </w:p>
    <w:p w14:paraId="1E9BD02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outlineLvl w:val="1"/>
        <w:rPr>
          <w:rFonts w:hint="eastAsia" w:ascii="宋体" w:hAnsi="宋体" w:eastAsia="宋体" w:cs="宋体"/>
          <w:b/>
          <w:bCs w:val="0"/>
          <w:color w:val="auto"/>
          <w:kern w:val="0"/>
          <w:szCs w:val="21"/>
          <w:highlight w:val="none"/>
          <w:lang w:eastAsia="zh-CN"/>
        </w:rPr>
      </w:pPr>
      <w:r>
        <w:rPr>
          <w:rFonts w:hint="eastAsia" w:ascii="宋体" w:hAnsi="宋体" w:cs="宋体"/>
          <w:b/>
          <w:bCs w:val="0"/>
          <w:color w:val="auto"/>
          <w:kern w:val="0"/>
          <w:szCs w:val="21"/>
          <w:highlight w:val="none"/>
          <w:lang w:eastAsia="zh-CN"/>
        </w:rPr>
        <w:t>（三）服务要求</w:t>
      </w:r>
    </w:p>
    <w:p w14:paraId="445FFC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1</w:t>
      </w:r>
      <w:r>
        <w:rPr>
          <w:rFonts w:hint="eastAsia" w:ascii="宋体" w:hAnsi="宋体" w:cs="宋体"/>
          <w:b w:val="0"/>
          <w:bCs/>
          <w:color w:val="auto"/>
          <w:kern w:val="0"/>
          <w:szCs w:val="21"/>
          <w:highlight w:val="none"/>
        </w:rPr>
        <w:t>、施工单位在施工过程中注意施工垃圾的存放、运输和处理，严禁随意倾倒。做好施工人员安全培训工作，安装过程中做好相关保障措施。</w:t>
      </w:r>
    </w:p>
    <w:p w14:paraId="5896424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2</w:t>
      </w:r>
      <w:r>
        <w:rPr>
          <w:rFonts w:hint="eastAsia" w:ascii="宋体" w:hAnsi="宋体" w:cs="宋体"/>
          <w:b w:val="0"/>
          <w:bCs/>
          <w:color w:val="auto"/>
          <w:kern w:val="0"/>
          <w:szCs w:val="21"/>
          <w:highlight w:val="none"/>
        </w:rPr>
        <w:t>、墙板与墙板之间使用4个U型插销连接，使用铁锤辅助安装。</w:t>
      </w:r>
    </w:p>
    <w:p w14:paraId="35E4C4D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3</w:t>
      </w:r>
      <w:r>
        <w:rPr>
          <w:rFonts w:hint="eastAsia" w:ascii="宋体" w:hAnsi="宋体" w:cs="宋体"/>
          <w:b w:val="0"/>
          <w:bCs/>
          <w:color w:val="auto"/>
          <w:kern w:val="0"/>
          <w:szCs w:val="21"/>
          <w:highlight w:val="none"/>
        </w:rPr>
        <w:t>、拆卸时，用铁锤将4个U型插销取下即可。</w:t>
      </w:r>
    </w:p>
    <w:p w14:paraId="27C2508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4</w:t>
      </w:r>
      <w:r>
        <w:rPr>
          <w:rFonts w:hint="eastAsia" w:ascii="宋体" w:hAnsi="宋体" w:cs="宋体"/>
          <w:b w:val="0"/>
          <w:bCs/>
          <w:color w:val="auto"/>
          <w:kern w:val="0"/>
          <w:szCs w:val="21"/>
          <w:highlight w:val="none"/>
        </w:rPr>
        <w:t>、搬运、组装与拆卸时要多人配合，预防砸伤。</w:t>
      </w:r>
    </w:p>
    <w:p w14:paraId="12237DC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5</w:t>
      </w:r>
      <w:r>
        <w:rPr>
          <w:rFonts w:hint="eastAsia" w:ascii="宋体" w:hAnsi="宋体" w:cs="宋体"/>
          <w:b w:val="0"/>
          <w:bCs/>
          <w:color w:val="auto"/>
          <w:kern w:val="0"/>
          <w:szCs w:val="21"/>
          <w:highlight w:val="none"/>
        </w:rPr>
        <w:t>、因板房单元与地面不连接，避免出现“一字型”单独墙体。</w:t>
      </w:r>
    </w:p>
    <w:p w14:paraId="15CD87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6</w:t>
      </w:r>
      <w:r>
        <w:rPr>
          <w:rFonts w:hint="eastAsia" w:ascii="宋体" w:hAnsi="宋体" w:cs="宋体"/>
          <w:b w:val="0"/>
          <w:bCs/>
          <w:color w:val="auto"/>
          <w:kern w:val="0"/>
          <w:szCs w:val="21"/>
          <w:highlight w:val="none"/>
        </w:rPr>
        <w:t>、2面墙连接（90°转角）使用90°单元组件（L型），3面墙连接使用180°单元组件（T型）连接。</w:t>
      </w:r>
    </w:p>
    <w:p w14:paraId="035B2BA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7</w:t>
      </w:r>
      <w:r>
        <w:rPr>
          <w:rFonts w:hint="eastAsia" w:ascii="宋体" w:hAnsi="宋体" w:cs="宋体"/>
          <w:b w:val="0"/>
          <w:bCs/>
          <w:color w:val="auto"/>
          <w:kern w:val="0"/>
          <w:szCs w:val="21"/>
          <w:highlight w:val="none"/>
        </w:rPr>
        <w:t>、搬运、安装及拆卸时注意漆面防护，如有掉漆及时补漆。</w:t>
      </w:r>
    </w:p>
    <w:p w14:paraId="6B0A52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8</w:t>
      </w:r>
      <w:r>
        <w:rPr>
          <w:rFonts w:hint="eastAsia" w:ascii="宋体" w:hAnsi="宋体" w:cs="宋体"/>
          <w:b w:val="0"/>
          <w:bCs/>
          <w:color w:val="auto"/>
          <w:kern w:val="0"/>
          <w:szCs w:val="21"/>
          <w:highlight w:val="none"/>
        </w:rPr>
        <w:t>、定期检查板房单元，如发现因掉漆出现生锈，请将锈迹打磨处理后补漆即可。</w:t>
      </w:r>
    </w:p>
    <w:p w14:paraId="3FC9448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9</w:t>
      </w:r>
      <w:r>
        <w:rPr>
          <w:rFonts w:hint="eastAsia" w:ascii="宋体" w:hAnsi="宋体" w:cs="宋体"/>
          <w:b w:val="0"/>
          <w:bCs/>
          <w:color w:val="auto"/>
          <w:kern w:val="0"/>
          <w:szCs w:val="21"/>
          <w:highlight w:val="none"/>
        </w:rPr>
        <w:t>、遇雨雪、大风等恶劣天气请将门、窗上锁；闲置的板房单元要及时清理表面积水、积雪。</w:t>
      </w:r>
    </w:p>
    <w:p w14:paraId="3625FB5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10</w:t>
      </w:r>
      <w:r>
        <w:rPr>
          <w:rFonts w:hint="eastAsia" w:ascii="宋体" w:hAnsi="宋体" w:cs="宋体"/>
          <w:b w:val="0"/>
          <w:bCs/>
          <w:color w:val="auto"/>
          <w:kern w:val="0"/>
          <w:szCs w:val="21"/>
          <w:highlight w:val="none"/>
        </w:rPr>
        <w:t>、搬运及安装时注意轻拿轻放。</w:t>
      </w:r>
    </w:p>
    <w:p w14:paraId="1D1FE2BE">
      <w:pPr>
        <w:keepNext w:val="0"/>
        <w:keepLines w:val="0"/>
        <w:pageBreakBefore w:val="0"/>
        <w:widowControl w:val="0"/>
        <w:kinsoku/>
        <w:wordWrap/>
        <w:overflowPunct/>
        <w:topLinePunct w:val="0"/>
        <w:autoSpaceDE/>
        <w:autoSpaceDN/>
        <w:bidi w:val="0"/>
        <w:spacing w:line="360" w:lineRule="exact"/>
        <w:ind w:firstLine="422" w:firstLineChars="200"/>
        <w:textAlignment w:val="auto"/>
        <w:outlineLvl w:val="1"/>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b/>
          <w:color w:val="auto"/>
          <w:kern w:val="0"/>
          <w:sz w:val="21"/>
          <w:szCs w:val="21"/>
          <w:highlight w:val="none"/>
          <w:lang w:eastAsia="zh-CN"/>
        </w:rPr>
        <w:t>四</w:t>
      </w:r>
      <w:r>
        <w:rPr>
          <w:rFonts w:hint="eastAsia" w:asciiTheme="minorEastAsia" w:hAnsiTheme="minorEastAsia" w:eastAsiaTheme="minorEastAsia" w:cstheme="minorEastAsia"/>
          <w:b/>
          <w:color w:val="auto"/>
          <w:kern w:val="0"/>
          <w:sz w:val="21"/>
          <w:szCs w:val="21"/>
          <w:highlight w:val="none"/>
        </w:rPr>
        <w:t>）付款方式</w:t>
      </w:r>
    </w:p>
    <w:p w14:paraId="3D56F63B">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项目验收合格后，根据审定价一次性支付所有项目款。</w:t>
      </w:r>
    </w:p>
    <w:p w14:paraId="25EB31BB">
      <w:pPr>
        <w:keepNext w:val="0"/>
        <w:keepLines w:val="0"/>
        <w:pageBreakBefore w:val="0"/>
        <w:widowControl w:val="0"/>
        <w:kinsoku/>
        <w:wordWrap/>
        <w:overflowPunct/>
        <w:topLinePunct w:val="0"/>
        <w:autoSpaceDE/>
        <w:autoSpaceDN/>
        <w:bidi w:val="0"/>
        <w:spacing w:line="360" w:lineRule="exact"/>
        <w:ind w:firstLine="422" w:firstLineChars="200"/>
        <w:textAlignment w:val="auto"/>
        <w:outlineLvl w:val="1"/>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eastAsia="zh-CN"/>
        </w:rPr>
        <w:t>二</w:t>
      </w:r>
      <w:r>
        <w:rPr>
          <w:rFonts w:hint="eastAsia" w:asciiTheme="minorEastAsia" w:hAnsiTheme="minorEastAsia" w:eastAsiaTheme="minorEastAsia" w:cstheme="minorEastAsia"/>
          <w:b/>
          <w:color w:val="auto"/>
          <w:kern w:val="0"/>
          <w:sz w:val="21"/>
          <w:szCs w:val="21"/>
          <w:highlight w:val="none"/>
        </w:rPr>
        <w:t>、询价响应文件的内容：</w:t>
      </w:r>
    </w:p>
    <w:p w14:paraId="13862578">
      <w:pPr>
        <w:keepNext w:val="0"/>
        <w:keepLines w:val="0"/>
        <w:pageBreakBefore w:val="0"/>
        <w:widowControl w:val="0"/>
        <w:kinsoku/>
        <w:wordWrap/>
        <w:overflowPunct/>
        <w:topLinePunct w:val="0"/>
        <w:autoSpaceDE/>
        <w:autoSpaceDN/>
        <w:bidi w:val="0"/>
        <w:spacing w:line="360" w:lineRule="exact"/>
        <w:ind w:firstLine="422" w:firstLineChars="200"/>
        <w:textAlignment w:val="auto"/>
        <w:outlineLvl w:val="1"/>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（一）资格证明材料</w:t>
      </w:r>
    </w:p>
    <w:p w14:paraId="18CE2019">
      <w:pPr>
        <w:widowControl/>
        <w:snapToGrid w:val="0"/>
        <w:spacing w:line="360" w:lineRule="exact"/>
        <w:ind w:firstLine="420" w:firstLineChars="200"/>
        <w:jc w:val="left"/>
        <w:rPr>
          <w:rFonts w:ascii="宋体" w:cs="宋体"/>
          <w:bCs/>
          <w:color w:val="auto"/>
          <w:kern w:val="0"/>
          <w:szCs w:val="21"/>
          <w:highlight w:val="none"/>
        </w:rPr>
      </w:pPr>
      <w:r>
        <w:rPr>
          <w:rFonts w:hint="eastAsia" w:ascii="宋体" w:cs="宋体"/>
          <w:bCs/>
          <w:color w:val="auto"/>
          <w:kern w:val="0"/>
          <w:szCs w:val="21"/>
          <w:highlight w:val="none"/>
        </w:rPr>
        <w:t>★</w:t>
      </w:r>
      <w:r>
        <w:rPr>
          <w:rFonts w:hint="eastAsia" w:ascii="宋体" w:cs="宋体"/>
          <w:bCs/>
          <w:color w:val="auto"/>
          <w:kern w:val="0"/>
          <w:szCs w:val="21"/>
          <w:highlight w:val="none"/>
          <w:lang w:val="en-US" w:eastAsia="zh-CN"/>
        </w:rPr>
        <w:t>1.</w:t>
      </w:r>
      <w:r>
        <w:rPr>
          <w:rFonts w:hint="eastAsia" w:ascii="宋体" w:cs="宋体"/>
          <w:bCs/>
          <w:color w:val="auto"/>
          <w:kern w:val="0"/>
          <w:szCs w:val="21"/>
          <w:highlight w:val="none"/>
        </w:rPr>
        <w:t>营业执照副本</w:t>
      </w:r>
    </w:p>
    <w:p w14:paraId="49FED055">
      <w:pPr>
        <w:widowControl/>
        <w:snapToGrid w:val="0"/>
        <w:spacing w:line="360" w:lineRule="exact"/>
        <w:ind w:firstLine="420" w:firstLineChars="200"/>
        <w:jc w:val="left"/>
        <w:rPr>
          <w:rFonts w:hint="default"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2.供应商简介（含供应商规模、技术能力及装备水平等）、人员情况、典型项目介绍等</w:t>
      </w:r>
    </w:p>
    <w:p w14:paraId="6AFE9835">
      <w:pPr>
        <w:widowControl/>
        <w:snapToGrid w:val="0"/>
        <w:spacing w:line="360" w:lineRule="exact"/>
        <w:ind w:firstLine="420" w:firstLineChars="200"/>
        <w:jc w:val="left"/>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w:t>
      </w:r>
      <w:r>
        <w:rPr>
          <w:rFonts w:hint="eastAsia" w:asciiTheme="minorEastAsia" w:hAnsiTheme="minorEastAsia" w:eastAsiaTheme="minorEastAsia" w:cstheme="minorEastAsia"/>
          <w:bCs/>
          <w:color w:val="auto"/>
          <w:kern w:val="0"/>
          <w:sz w:val="21"/>
          <w:szCs w:val="21"/>
          <w:highlight w:val="none"/>
          <w:lang w:val="en-US" w:eastAsia="zh-CN"/>
        </w:rPr>
        <w:t>3.</w:t>
      </w:r>
      <w:r>
        <w:rPr>
          <w:rFonts w:hint="eastAsia" w:asciiTheme="minorEastAsia" w:hAnsiTheme="minorEastAsia" w:eastAsiaTheme="minorEastAsia" w:cstheme="minorEastAsia"/>
          <w:bCs/>
          <w:color w:val="auto"/>
          <w:kern w:val="0"/>
          <w:sz w:val="21"/>
          <w:szCs w:val="21"/>
          <w:highlight w:val="none"/>
        </w:rPr>
        <w:t>供应商资格声明函（附件1）</w:t>
      </w:r>
    </w:p>
    <w:p w14:paraId="1AF08926">
      <w:pPr>
        <w:widowControl/>
        <w:snapToGrid w:val="0"/>
        <w:spacing w:line="360" w:lineRule="exact"/>
        <w:ind w:firstLine="420" w:firstLineChars="200"/>
        <w:jc w:val="left"/>
        <w:rPr>
          <w:rFonts w:ascii="宋体" w:cs="宋体"/>
          <w:bCs/>
          <w:color w:val="auto"/>
          <w:kern w:val="0"/>
          <w:szCs w:val="21"/>
          <w:highlight w:val="none"/>
        </w:rPr>
      </w:pPr>
      <w:r>
        <w:rPr>
          <w:rFonts w:hint="eastAsia" w:ascii="宋体" w:cs="宋体"/>
          <w:bCs/>
          <w:color w:val="auto"/>
          <w:kern w:val="0"/>
          <w:szCs w:val="21"/>
          <w:highlight w:val="none"/>
        </w:rPr>
        <w:t>★</w:t>
      </w:r>
      <w:r>
        <w:rPr>
          <w:rFonts w:hint="eastAsia" w:ascii="宋体" w:cs="宋体"/>
          <w:bCs/>
          <w:color w:val="auto"/>
          <w:kern w:val="0"/>
          <w:szCs w:val="21"/>
          <w:highlight w:val="none"/>
          <w:lang w:val="en-US" w:eastAsia="zh-CN"/>
        </w:rPr>
        <w:t>4.</w:t>
      </w:r>
      <w:r>
        <w:rPr>
          <w:rFonts w:hint="eastAsia" w:ascii="宋体" w:cs="宋体"/>
          <w:bCs/>
          <w:color w:val="auto"/>
          <w:kern w:val="0"/>
          <w:szCs w:val="21"/>
          <w:highlight w:val="none"/>
        </w:rPr>
        <w:t>响应函（附件2）</w:t>
      </w:r>
    </w:p>
    <w:p w14:paraId="66BAA59A">
      <w:pPr>
        <w:widowControl/>
        <w:snapToGrid w:val="0"/>
        <w:spacing w:line="360" w:lineRule="exact"/>
        <w:ind w:firstLine="420" w:firstLineChars="200"/>
        <w:jc w:val="left"/>
        <w:rPr>
          <w:rFonts w:ascii="宋体" w:cs="宋体"/>
          <w:bCs/>
          <w:color w:val="auto"/>
          <w:kern w:val="0"/>
          <w:szCs w:val="21"/>
          <w:highlight w:val="none"/>
        </w:rPr>
      </w:pPr>
      <w:r>
        <w:rPr>
          <w:rFonts w:hint="eastAsia" w:ascii="宋体" w:cs="宋体"/>
          <w:bCs/>
          <w:color w:val="auto"/>
          <w:kern w:val="0"/>
          <w:szCs w:val="21"/>
          <w:highlight w:val="none"/>
        </w:rPr>
        <w:t>★</w:t>
      </w:r>
      <w:r>
        <w:rPr>
          <w:rFonts w:hint="eastAsia" w:ascii="宋体" w:cs="宋体"/>
          <w:bCs/>
          <w:color w:val="auto"/>
          <w:kern w:val="0"/>
          <w:szCs w:val="21"/>
          <w:highlight w:val="none"/>
          <w:lang w:val="en-US" w:eastAsia="zh-CN"/>
        </w:rPr>
        <w:t>5.</w:t>
      </w:r>
      <w:r>
        <w:rPr>
          <w:rFonts w:hint="eastAsia" w:cs="宋体"/>
          <w:color w:val="auto"/>
          <w:szCs w:val="21"/>
          <w:highlight w:val="none"/>
        </w:rPr>
        <w:t>法定代表人资格证明书、法定代表人身份证复印件（双面）（附件3）</w:t>
      </w:r>
    </w:p>
    <w:p w14:paraId="68D3C88E">
      <w:pPr>
        <w:widowControl/>
        <w:snapToGrid w:val="0"/>
        <w:spacing w:line="360" w:lineRule="exact"/>
        <w:ind w:firstLine="420" w:firstLineChars="200"/>
        <w:jc w:val="left"/>
        <w:rPr>
          <w:rFonts w:hint="eastAsia" w:ascii="宋体" w:cs="宋体"/>
          <w:bCs/>
          <w:color w:val="auto"/>
          <w:kern w:val="0"/>
          <w:szCs w:val="21"/>
          <w:highlight w:val="none"/>
        </w:rPr>
      </w:pPr>
      <w:r>
        <w:rPr>
          <w:rFonts w:hint="eastAsia" w:ascii="宋体" w:cs="宋体"/>
          <w:bCs/>
          <w:color w:val="auto"/>
          <w:kern w:val="0"/>
          <w:szCs w:val="21"/>
          <w:highlight w:val="none"/>
        </w:rPr>
        <w:t>★</w:t>
      </w:r>
      <w:r>
        <w:rPr>
          <w:rFonts w:hint="eastAsia" w:ascii="宋体" w:cs="宋体"/>
          <w:bCs/>
          <w:color w:val="auto"/>
          <w:kern w:val="0"/>
          <w:szCs w:val="21"/>
          <w:highlight w:val="none"/>
          <w:lang w:val="en-US" w:eastAsia="zh-CN"/>
        </w:rPr>
        <w:t>6.</w:t>
      </w:r>
      <w:r>
        <w:rPr>
          <w:rFonts w:hint="eastAsia" w:ascii="宋体" w:cs="宋体"/>
          <w:bCs/>
          <w:color w:val="auto"/>
          <w:kern w:val="0"/>
          <w:szCs w:val="21"/>
          <w:highlight w:val="none"/>
        </w:rPr>
        <w:t>授权委托书、代理人身份证复印件（双面）、</w:t>
      </w:r>
      <w:r>
        <w:rPr>
          <w:rFonts w:hint="eastAsia" w:ascii="宋体" w:cs="宋体"/>
          <w:bCs/>
          <w:color w:val="auto"/>
          <w:kern w:val="0"/>
          <w:szCs w:val="21"/>
          <w:highlight w:val="none"/>
        </w:rPr>
        <w:t>供应商近三个月（自开标之日往前推）为其缴纳社保的记录</w:t>
      </w:r>
      <w:r>
        <w:rPr>
          <w:rFonts w:hint="eastAsia" w:ascii="宋体" w:cs="宋体"/>
          <w:bCs/>
          <w:color w:val="auto"/>
          <w:kern w:val="0"/>
          <w:szCs w:val="21"/>
          <w:highlight w:val="none"/>
        </w:rPr>
        <w:t>（如果有授权委托情况的，必须提供）（附件4）</w:t>
      </w:r>
    </w:p>
    <w:p w14:paraId="3EC6B15E">
      <w:pPr>
        <w:widowControl/>
        <w:snapToGrid w:val="0"/>
        <w:spacing w:line="360" w:lineRule="exact"/>
        <w:ind w:firstLine="420" w:firstLineChars="200"/>
        <w:jc w:val="left"/>
        <w:rPr>
          <w:rFonts w:hint="eastAsia" w:ascii="宋体" w:eastAsia="宋体" w:cs="宋体"/>
          <w:bCs/>
          <w:color w:val="auto"/>
          <w:kern w:val="0"/>
          <w:szCs w:val="21"/>
          <w:highlight w:val="none"/>
          <w:lang w:eastAsia="zh-CN"/>
        </w:rPr>
      </w:pPr>
      <w:r>
        <w:rPr>
          <w:rFonts w:hint="eastAsia" w:ascii="宋体" w:cs="宋体"/>
          <w:bCs/>
          <w:color w:val="auto"/>
          <w:kern w:val="0"/>
          <w:szCs w:val="21"/>
          <w:highlight w:val="none"/>
        </w:rPr>
        <w:t>★</w:t>
      </w:r>
      <w:r>
        <w:rPr>
          <w:rFonts w:hint="eastAsia" w:ascii="宋体" w:cs="宋体"/>
          <w:bCs/>
          <w:color w:val="auto"/>
          <w:kern w:val="0"/>
          <w:szCs w:val="21"/>
          <w:highlight w:val="none"/>
          <w:lang w:val="en-US" w:eastAsia="zh-CN"/>
        </w:rPr>
        <w:t>7</w:t>
      </w:r>
      <w:r>
        <w:rPr>
          <w:rFonts w:hint="eastAsia" w:ascii="宋体" w:cs="宋体"/>
          <w:bCs/>
          <w:color w:val="auto"/>
          <w:kern w:val="0"/>
          <w:szCs w:val="21"/>
          <w:highlight w:val="none"/>
        </w:rPr>
        <w:t>.拟投入本项目的项目经理须具备建筑工程专业注册二级建造师及以上资质和《建筑施工企业项目负责人安全生产考核合格证书》(B证)(须提供本单位为其缴纳的最近一期社保证明)</w:t>
      </w:r>
      <w:r>
        <w:rPr>
          <w:rFonts w:hint="eastAsia" w:ascii="宋体" w:cs="宋体"/>
          <w:bCs/>
          <w:color w:val="auto"/>
          <w:kern w:val="0"/>
          <w:szCs w:val="21"/>
          <w:highlight w:val="none"/>
          <w:lang w:eastAsia="zh-CN"/>
        </w:rPr>
        <w:t>；</w:t>
      </w:r>
    </w:p>
    <w:p w14:paraId="1E0050F6">
      <w:pPr>
        <w:widowControl/>
        <w:snapToGrid w:val="0"/>
        <w:spacing w:line="360" w:lineRule="exact"/>
        <w:ind w:firstLine="420" w:firstLineChars="200"/>
        <w:jc w:val="left"/>
        <w:rPr>
          <w:rFonts w:hint="eastAsia" w:ascii="宋体" w:cs="宋体"/>
          <w:bCs/>
          <w:color w:val="auto"/>
          <w:kern w:val="0"/>
          <w:szCs w:val="21"/>
          <w:highlight w:val="none"/>
          <w:lang w:eastAsia="zh-CN"/>
        </w:rPr>
      </w:pPr>
      <w:r>
        <w:rPr>
          <w:rFonts w:hint="eastAsia" w:ascii="宋体" w:cs="宋体"/>
          <w:bCs/>
          <w:color w:val="auto"/>
          <w:kern w:val="0"/>
          <w:szCs w:val="21"/>
          <w:highlight w:val="none"/>
        </w:rPr>
        <w:t>★</w:t>
      </w:r>
      <w:r>
        <w:rPr>
          <w:rFonts w:hint="eastAsia" w:ascii="宋体" w:cs="宋体"/>
          <w:bCs/>
          <w:color w:val="auto"/>
          <w:kern w:val="0"/>
          <w:szCs w:val="21"/>
          <w:highlight w:val="none"/>
          <w:lang w:val="en-US" w:eastAsia="zh-CN"/>
        </w:rPr>
        <w:t>8</w:t>
      </w:r>
      <w:r>
        <w:rPr>
          <w:rFonts w:hint="eastAsia" w:ascii="宋体" w:cs="宋体"/>
          <w:bCs/>
          <w:color w:val="auto"/>
          <w:kern w:val="0"/>
          <w:szCs w:val="21"/>
          <w:highlight w:val="none"/>
        </w:rPr>
        <w:t>.供应商具备有效的《安全生产许可证》</w:t>
      </w:r>
      <w:r>
        <w:rPr>
          <w:rFonts w:hint="eastAsia" w:ascii="宋体" w:cs="宋体"/>
          <w:bCs/>
          <w:color w:val="auto"/>
          <w:kern w:val="0"/>
          <w:szCs w:val="21"/>
          <w:highlight w:val="none"/>
          <w:lang w:eastAsia="zh-CN"/>
        </w:rPr>
        <w:t>；</w:t>
      </w:r>
    </w:p>
    <w:p w14:paraId="52B59538">
      <w:pPr>
        <w:widowControl/>
        <w:snapToGrid w:val="0"/>
        <w:spacing w:line="360" w:lineRule="exact"/>
        <w:ind w:firstLine="420" w:firstLineChars="200"/>
        <w:jc w:val="left"/>
        <w:rPr>
          <w:rFonts w:hint="eastAsia" w:ascii="宋体" w:eastAsia="宋体" w:cs="宋体"/>
          <w:bCs/>
          <w:color w:val="auto"/>
          <w:kern w:val="0"/>
          <w:szCs w:val="21"/>
          <w:highlight w:val="none"/>
          <w:lang w:eastAsia="zh-CN"/>
        </w:rPr>
      </w:pPr>
      <w:r>
        <w:rPr>
          <w:rFonts w:hint="eastAsia" w:ascii="宋体" w:cs="宋体"/>
          <w:bCs/>
          <w:color w:val="auto"/>
          <w:kern w:val="0"/>
          <w:szCs w:val="21"/>
          <w:highlight w:val="none"/>
        </w:rPr>
        <w:t>★</w:t>
      </w:r>
      <w:r>
        <w:rPr>
          <w:rFonts w:hint="eastAsia" w:ascii="宋体" w:cs="宋体"/>
          <w:bCs/>
          <w:color w:val="auto"/>
          <w:kern w:val="0"/>
          <w:szCs w:val="21"/>
          <w:highlight w:val="none"/>
          <w:lang w:val="en-US" w:eastAsia="zh-CN"/>
        </w:rPr>
        <w:t>9.</w:t>
      </w:r>
      <w:r>
        <w:rPr>
          <w:rFonts w:hint="eastAsia" w:ascii="宋体" w:cs="宋体"/>
          <w:bCs/>
          <w:color w:val="auto"/>
          <w:kern w:val="0"/>
          <w:szCs w:val="21"/>
          <w:highlight w:val="none"/>
        </w:rPr>
        <w:t>提供该项目的</w:t>
      </w:r>
      <w:r>
        <w:rPr>
          <w:rFonts w:hint="eastAsia" w:ascii="宋体" w:cs="宋体"/>
          <w:b/>
          <w:bCs w:val="0"/>
          <w:color w:val="auto"/>
          <w:kern w:val="0"/>
          <w:szCs w:val="21"/>
          <w:highlight w:val="none"/>
          <w:lang w:val="en-US" w:eastAsia="zh-CN"/>
        </w:rPr>
        <w:t>实景</w:t>
      </w:r>
      <w:r>
        <w:rPr>
          <w:rFonts w:hint="eastAsia" w:ascii="宋体" w:cs="宋体"/>
          <w:bCs/>
          <w:color w:val="auto"/>
          <w:kern w:val="0"/>
          <w:szCs w:val="21"/>
          <w:highlight w:val="none"/>
        </w:rPr>
        <w:t>效果图方案(不低于3张)</w:t>
      </w:r>
      <w:r>
        <w:rPr>
          <w:rFonts w:hint="eastAsia" w:ascii="宋体" w:cs="宋体"/>
          <w:bCs/>
          <w:color w:val="auto"/>
          <w:kern w:val="0"/>
          <w:szCs w:val="21"/>
          <w:highlight w:val="none"/>
          <w:lang w:eastAsia="zh-CN"/>
        </w:rPr>
        <w:t>；</w:t>
      </w:r>
    </w:p>
    <w:p w14:paraId="06B37F92">
      <w:pPr>
        <w:snapToGrid/>
        <w:spacing w:line="360" w:lineRule="exact"/>
        <w:ind w:firstLine="422" w:firstLineChars="201"/>
        <w:rPr>
          <w:rFonts w:hint="default" w:ascii="宋体" w:hAnsi="宋体" w:eastAsia="宋体" w:cs="宋体"/>
          <w:color w:val="auto"/>
          <w:szCs w:val="21"/>
          <w:highlight w:val="none"/>
          <w:lang w:val="en-US" w:eastAsia="zh-CN"/>
        </w:rPr>
      </w:pPr>
      <w:r>
        <w:rPr>
          <w:rFonts w:hint="eastAsia" w:ascii="宋体" w:cs="宋体"/>
          <w:bCs/>
          <w:color w:val="auto"/>
          <w:kern w:val="0"/>
          <w:szCs w:val="21"/>
          <w:highlight w:val="none"/>
        </w:rPr>
        <w:t>★</w:t>
      </w:r>
      <w:r>
        <w:rPr>
          <w:rFonts w:hint="eastAsia" w:ascii="宋体" w:cs="宋体"/>
          <w:bCs/>
          <w:color w:val="auto"/>
          <w:kern w:val="0"/>
          <w:szCs w:val="21"/>
          <w:highlight w:val="none"/>
          <w:lang w:val="en-US" w:eastAsia="zh-CN"/>
        </w:rPr>
        <w:t>10.</w:t>
      </w:r>
      <w:r>
        <w:rPr>
          <w:rFonts w:hint="eastAsia" w:ascii="宋体" w:hAnsi="宋体" w:cs="宋体"/>
          <w:color w:val="auto"/>
          <w:szCs w:val="21"/>
          <w:highlight w:val="none"/>
        </w:rPr>
        <w:t>提供“信用中国”网站</w:t>
      </w:r>
      <w:r>
        <w:rPr>
          <w:rFonts w:hint="eastAsia" w:ascii="宋体" w:hAnsi="宋体" w:cs="宋体"/>
          <w:color w:val="auto"/>
          <w:szCs w:val="21"/>
          <w:highlight w:val="none"/>
          <w:lang w:val="en-US" w:eastAsia="zh-CN"/>
        </w:rPr>
        <w:t>下列查询截图：</w:t>
      </w:r>
    </w:p>
    <w:p w14:paraId="3E471C62">
      <w:pPr>
        <w:snapToGrid/>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信用记录行政处罚(www.creditchina.gov.cn)</w:t>
      </w:r>
    </w:p>
    <w:p w14:paraId="4D3C0B0D">
      <w:pPr>
        <w:snapToGrid/>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失信被执行人</w:t>
      </w:r>
      <w:r>
        <w:rPr>
          <w:rFonts w:hint="eastAsia" w:ascii="宋体" w:hAnsi="宋体" w:cs="宋体"/>
          <w:color w:val="auto"/>
          <w:szCs w:val="21"/>
          <w:highlight w:val="none"/>
          <w:lang w:eastAsia="zh-CN"/>
        </w:rPr>
        <w:t>（</w:t>
      </w:r>
      <w:r>
        <w:rPr>
          <w:rFonts w:hint="eastAsia" w:ascii="宋体" w:hAnsi="宋体" w:cs="宋体"/>
          <w:color w:val="auto"/>
          <w:szCs w:val="21"/>
          <w:highlight w:val="none"/>
        </w:rPr>
        <w:t>https://zxgk.court.gov.cn/shixin/</w:t>
      </w:r>
      <w:r>
        <w:rPr>
          <w:rFonts w:hint="eastAsia" w:ascii="宋体" w:hAnsi="宋体" w:cs="宋体"/>
          <w:color w:val="auto"/>
          <w:szCs w:val="21"/>
          <w:highlight w:val="none"/>
          <w:lang w:eastAsia="zh-CN"/>
        </w:rPr>
        <w:t>）</w:t>
      </w:r>
    </w:p>
    <w:p w14:paraId="380206ED">
      <w:pPr>
        <w:snapToGrid/>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重大税收违法案件当事人名单</w:t>
      </w:r>
    </w:p>
    <w:p w14:paraId="4E3B656C">
      <w:pPr>
        <w:snapToGrid/>
        <w:spacing w:line="36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https://www.creditchina.gov.cn/zhuanxiangchaxun/zhongdashuishouweifaanjian/</w:t>
      </w:r>
      <w:r>
        <w:rPr>
          <w:rFonts w:hint="eastAsia" w:ascii="宋体" w:hAnsi="宋体" w:cs="宋体"/>
          <w:color w:val="auto"/>
          <w:szCs w:val="21"/>
          <w:highlight w:val="none"/>
          <w:lang w:eastAsia="zh-CN"/>
        </w:rPr>
        <w:t>）</w:t>
      </w:r>
    </w:p>
    <w:p w14:paraId="4727A780">
      <w:pPr>
        <w:snapToGrid/>
        <w:spacing w:line="360" w:lineRule="exact"/>
        <w:ind w:firstLine="422" w:firstLineChars="201"/>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严重失信行为记录名单</w:t>
      </w:r>
    </w:p>
    <w:p w14:paraId="592D56F7">
      <w:pPr>
        <w:snapToGrid/>
        <w:spacing w:line="360" w:lineRule="exact"/>
        <w:ind w:firstLine="0" w:firstLineChars="0"/>
        <w:rPr>
          <w:rFonts w:hint="eastAsia" w:ascii="宋体" w:hAnsi="宋体" w:cs="宋体"/>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https://www.creditchina.gov.cn/xinxigongshi/shixinheimingdan/</w:t>
      </w:r>
      <w:r>
        <w:rPr>
          <w:rFonts w:hint="eastAsia" w:ascii="宋体" w:hAnsi="宋体" w:cs="宋体"/>
          <w:color w:val="auto"/>
          <w:szCs w:val="21"/>
          <w:highlight w:val="none"/>
          <w:lang w:eastAsia="zh-CN"/>
        </w:rPr>
        <w:t>）</w:t>
      </w:r>
    </w:p>
    <w:p w14:paraId="5A29B3C3">
      <w:pPr>
        <w:ind w:firstLine="422" w:firstLineChars="200"/>
        <w:outlineLvl w:val="1"/>
        <w:rPr>
          <w:rFonts w:ascii="宋体" w:hAnsi="宋体" w:cs="宋体"/>
          <w:b/>
          <w:color w:val="auto"/>
          <w:kern w:val="0"/>
          <w:szCs w:val="21"/>
          <w:highlight w:val="none"/>
        </w:rPr>
      </w:pPr>
      <w:r>
        <w:rPr>
          <w:rFonts w:hint="eastAsia" w:ascii="宋体" w:hAnsi="宋体" w:cs="宋体"/>
          <w:b/>
          <w:color w:val="auto"/>
          <w:kern w:val="0"/>
          <w:szCs w:val="21"/>
          <w:highlight w:val="none"/>
        </w:rPr>
        <w:t>（二）符合性证明材料</w:t>
      </w:r>
    </w:p>
    <w:p w14:paraId="5F2936CE">
      <w:pPr>
        <w:widowControl/>
        <w:snapToGrid w:val="0"/>
        <w:spacing w:line="360" w:lineRule="exact"/>
        <w:ind w:firstLine="420" w:firstLineChars="200"/>
        <w:jc w:val="left"/>
        <w:rPr>
          <w:rFonts w:ascii="宋体" w:cs="宋体"/>
          <w:bCs/>
          <w:color w:val="auto"/>
          <w:kern w:val="0"/>
          <w:szCs w:val="21"/>
          <w:highlight w:val="none"/>
        </w:rPr>
      </w:pPr>
      <w:r>
        <w:rPr>
          <w:rFonts w:hint="eastAsia" w:ascii="宋体" w:cs="宋体"/>
          <w:bCs/>
          <w:color w:val="auto"/>
          <w:kern w:val="0"/>
          <w:szCs w:val="21"/>
          <w:highlight w:val="none"/>
        </w:rPr>
        <w:t>★1</w:t>
      </w:r>
      <w:r>
        <w:rPr>
          <w:rFonts w:ascii="宋体" w:cs="宋体"/>
          <w:bCs/>
          <w:color w:val="auto"/>
          <w:kern w:val="0"/>
          <w:szCs w:val="21"/>
          <w:highlight w:val="none"/>
        </w:rPr>
        <w:t>.</w:t>
      </w:r>
      <w:r>
        <w:rPr>
          <w:rFonts w:hint="eastAsia" w:ascii="宋体" w:cs="宋体"/>
          <w:bCs/>
          <w:color w:val="auto"/>
          <w:kern w:val="0"/>
          <w:szCs w:val="21"/>
          <w:highlight w:val="none"/>
        </w:rPr>
        <w:t>报价一览表（附件5）</w:t>
      </w:r>
    </w:p>
    <w:p w14:paraId="79E72DC2">
      <w:pPr>
        <w:widowControl/>
        <w:snapToGrid w:val="0"/>
        <w:spacing w:line="360" w:lineRule="exact"/>
        <w:ind w:firstLine="420" w:firstLineChars="200"/>
        <w:jc w:val="left"/>
        <w:rPr>
          <w:rFonts w:ascii="宋体" w:cs="宋体"/>
          <w:bCs/>
          <w:color w:val="auto"/>
          <w:kern w:val="0"/>
          <w:szCs w:val="21"/>
          <w:highlight w:val="none"/>
        </w:rPr>
      </w:pPr>
      <w:r>
        <w:rPr>
          <w:rFonts w:hint="eastAsia" w:ascii="宋体" w:cs="宋体"/>
          <w:bCs/>
          <w:color w:val="auto"/>
          <w:kern w:val="0"/>
          <w:szCs w:val="21"/>
          <w:highlight w:val="none"/>
        </w:rPr>
        <w:t>★2</w:t>
      </w:r>
      <w:r>
        <w:rPr>
          <w:rFonts w:ascii="宋体" w:cs="宋体"/>
          <w:bCs/>
          <w:color w:val="auto"/>
          <w:kern w:val="0"/>
          <w:szCs w:val="21"/>
          <w:highlight w:val="none"/>
        </w:rPr>
        <w:t>.</w:t>
      </w:r>
      <w:r>
        <w:rPr>
          <w:rFonts w:hint="eastAsia" w:ascii="宋体" w:cs="宋体"/>
          <w:bCs/>
          <w:color w:val="auto"/>
          <w:kern w:val="0"/>
          <w:szCs w:val="21"/>
          <w:highlight w:val="none"/>
        </w:rPr>
        <w:t>报价明细表（附件6）</w:t>
      </w:r>
    </w:p>
    <w:p w14:paraId="3A9F4835">
      <w:pPr>
        <w:widowControl/>
        <w:snapToGrid w:val="0"/>
        <w:spacing w:line="360" w:lineRule="exact"/>
        <w:ind w:firstLine="420" w:firstLineChars="200"/>
        <w:jc w:val="left"/>
        <w:rPr>
          <w:rFonts w:ascii="宋体" w:cs="宋体"/>
          <w:bCs/>
          <w:color w:val="auto"/>
          <w:kern w:val="0"/>
          <w:szCs w:val="21"/>
          <w:highlight w:val="none"/>
        </w:rPr>
      </w:pPr>
      <w:r>
        <w:rPr>
          <w:rFonts w:ascii="宋体" w:cs="宋体"/>
          <w:bCs/>
          <w:color w:val="auto"/>
          <w:kern w:val="0"/>
          <w:szCs w:val="21"/>
          <w:highlight w:val="none"/>
        </w:rPr>
        <w:t>3.</w:t>
      </w:r>
      <w:r>
        <w:rPr>
          <w:rFonts w:hint="eastAsia" w:ascii="宋体" w:cs="宋体"/>
          <w:bCs/>
          <w:color w:val="auto"/>
          <w:kern w:val="0"/>
          <w:szCs w:val="21"/>
          <w:highlight w:val="none"/>
        </w:rPr>
        <w:t>服务承诺书（附件7）</w:t>
      </w:r>
    </w:p>
    <w:p w14:paraId="204BD09C">
      <w:pPr>
        <w:widowControl/>
        <w:snapToGrid w:val="0"/>
        <w:spacing w:line="360" w:lineRule="exact"/>
        <w:ind w:firstLine="420" w:firstLineChars="200"/>
        <w:jc w:val="left"/>
        <w:rPr>
          <w:rFonts w:ascii="宋体" w:cs="宋体"/>
          <w:bCs/>
          <w:color w:val="auto"/>
          <w:kern w:val="0"/>
          <w:szCs w:val="21"/>
          <w:highlight w:val="none"/>
        </w:rPr>
      </w:pPr>
      <w:r>
        <w:rPr>
          <w:rFonts w:hint="eastAsia" w:ascii="宋体" w:cs="宋体"/>
          <w:bCs/>
          <w:color w:val="auto"/>
          <w:kern w:val="0"/>
          <w:szCs w:val="21"/>
          <w:highlight w:val="none"/>
        </w:rPr>
        <w:t>★</w:t>
      </w:r>
      <w:r>
        <w:rPr>
          <w:rFonts w:ascii="宋体" w:cs="宋体"/>
          <w:bCs/>
          <w:color w:val="auto"/>
          <w:kern w:val="0"/>
          <w:szCs w:val="21"/>
          <w:highlight w:val="none"/>
        </w:rPr>
        <w:t>4.</w:t>
      </w:r>
      <w:r>
        <w:rPr>
          <w:rFonts w:hint="eastAsia" w:ascii="宋体" w:cs="宋体"/>
          <w:bCs/>
          <w:color w:val="auto"/>
          <w:kern w:val="0"/>
          <w:szCs w:val="21"/>
          <w:highlight w:val="none"/>
        </w:rPr>
        <w:t>偏离表（附件8）</w:t>
      </w:r>
    </w:p>
    <w:p w14:paraId="4C5F6AD3">
      <w:pPr>
        <w:widowControl/>
        <w:snapToGrid w:val="0"/>
        <w:spacing w:line="360" w:lineRule="exact"/>
        <w:ind w:firstLine="420" w:firstLineChars="200"/>
        <w:jc w:val="left"/>
        <w:rPr>
          <w:rFonts w:ascii="宋体" w:cs="宋体"/>
          <w:bCs/>
          <w:color w:val="auto"/>
          <w:kern w:val="0"/>
          <w:szCs w:val="21"/>
          <w:highlight w:val="none"/>
        </w:rPr>
      </w:pPr>
      <w:r>
        <w:rPr>
          <w:rFonts w:ascii="宋体" w:cs="宋体"/>
          <w:bCs/>
          <w:color w:val="auto"/>
          <w:kern w:val="0"/>
          <w:szCs w:val="21"/>
          <w:highlight w:val="none"/>
        </w:rPr>
        <w:t>5.</w:t>
      </w:r>
      <w:r>
        <w:rPr>
          <w:rFonts w:hint="eastAsia" w:ascii="宋体" w:cs="宋体"/>
          <w:bCs/>
          <w:color w:val="auto"/>
          <w:kern w:val="0"/>
          <w:szCs w:val="21"/>
          <w:highlight w:val="none"/>
        </w:rPr>
        <w:t>其他资料</w:t>
      </w:r>
    </w:p>
    <w:p w14:paraId="0B72817A">
      <w:pPr>
        <w:ind w:firstLine="422" w:firstLineChars="200"/>
        <w:outlineLvl w:val="1"/>
        <w:rPr>
          <w:rFonts w:ascii="宋体" w:hAnsi="宋体" w:cs="宋体"/>
          <w:b/>
          <w:color w:val="auto"/>
          <w:kern w:val="0"/>
          <w:szCs w:val="21"/>
          <w:highlight w:val="none"/>
        </w:rPr>
      </w:pPr>
      <w:r>
        <w:rPr>
          <w:rFonts w:hint="eastAsia" w:ascii="宋体" w:hAnsi="宋体" w:cs="宋体"/>
          <w:b/>
          <w:color w:val="auto"/>
          <w:kern w:val="0"/>
          <w:szCs w:val="21"/>
          <w:highlight w:val="none"/>
        </w:rPr>
        <w:t>（三）说明</w:t>
      </w:r>
    </w:p>
    <w:p w14:paraId="0E06B9DE">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left"/>
        <w:textAlignment w:val="auto"/>
        <w:rPr>
          <w:rFonts w:ascii="宋体" w:cs="宋体"/>
          <w:bCs/>
          <w:color w:val="auto"/>
          <w:kern w:val="0"/>
          <w:szCs w:val="21"/>
          <w:highlight w:val="none"/>
        </w:rPr>
      </w:pPr>
      <w:r>
        <w:rPr>
          <w:rFonts w:hint="eastAsia" w:ascii="宋体" w:cs="宋体"/>
          <w:bCs/>
          <w:color w:val="auto"/>
          <w:kern w:val="0"/>
          <w:szCs w:val="21"/>
          <w:highlight w:val="none"/>
        </w:rPr>
        <w:t>1.询价响应文件</w:t>
      </w:r>
      <w:r>
        <w:rPr>
          <w:rFonts w:hint="eastAsia" w:ascii="宋体" w:cs="宋体"/>
          <w:color w:val="auto"/>
          <w:kern w:val="0"/>
          <w:szCs w:val="21"/>
          <w:highlight w:val="none"/>
        </w:rPr>
        <w:t>中复印件需加盖供应商公章</w:t>
      </w:r>
      <w:r>
        <w:rPr>
          <w:rFonts w:hint="eastAsia" w:ascii="宋体" w:cs="宋体"/>
          <w:color w:val="auto"/>
          <w:kern w:val="0"/>
          <w:szCs w:val="21"/>
          <w:highlight w:val="none"/>
          <w:lang w:eastAsia="zh-CN"/>
        </w:rPr>
        <w:t>，</w:t>
      </w:r>
      <w:r>
        <w:rPr>
          <w:rFonts w:hint="eastAsia" w:ascii="宋体" w:cs="宋体"/>
          <w:bCs/>
          <w:color w:val="auto"/>
          <w:kern w:val="0"/>
          <w:szCs w:val="21"/>
          <w:highlight w:val="none"/>
        </w:rPr>
        <w:t>带“★”内容均必须提供并加盖供应商公章，否则将作为无效响应文件处理。</w:t>
      </w:r>
    </w:p>
    <w:p w14:paraId="59EE8A9F">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szCs w:val="21"/>
          <w:highlight w:val="none"/>
        </w:rPr>
      </w:pPr>
      <w:r>
        <w:rPr>
          <w:rFonts w:hint="eastAsia" w:ascii="宋体" w:cs="宋体"/>
          <w:bCs/>
          <w:color w:val="auto"/>
          <w:kern w:val="0"/>
          <w:szCs w:val="21"/>
          <w:highlight w:val="none"/>
          <w:lang w:val="en-US" w:eastAsia="zh-CN"/>
        </w:rPr>
        <w:t>2.</w:t>
      </w:r>
      <w:r>
        <w:rPr>
          <w:rFonts w:hint="eastAsia" w:ascii="宋体" w:cs="宋体"/>
          <w:color w:val="auto"/>
          <w:kern w:val="0"/>
          <w:szCs w:val="21"/>
          <w:highlight w:val="none"/>
        </w:rPr>
        <w:t>询价</w:t>
      </w:r>
      <w:r>
        <w:rPr>
          <w:rFonts w:ascii="宋体" w:cs="宋体"/>
          <w:color w:val="auto"/>
          <w:kern w:val="0"/>
          <w:szCs w:val="21"/>
          <w:highlight w:val="none"/>
        </w:rPr>
        <w:t>响应文件</w:t>
      </w:r>
      <w:r>
        <w:rPr>
          <w:rFonts w:hint="eastAsia" w:ascii="宋体" w:cs="宋体"/>
          <w:color w:val="auto"/>
          <w:kern w:val="0"/>
          <w:szCs w:val="21"/>
          <w:highlight w:val="none"/>
        </w:rPr>
        <w:t>提供装订的</w:t>
      </w:r>
      <w:r>
        <w:rPr>
          <w:rFonts w:hint="eastAsia" w:ascii="宋体" w:cs="宋体"/>
          <w:b/>
          <w:color w:val="auto"/>
          <w:kern w:val="0"/>
          <w:szCs w:val="21"/>
          <w:highlight w:val="none"/>
        </w:rPr>
        <w:t>壹份“正本”、贰份“副本”、壹份“电子文档”（载体采用“电子光盘”或“U盘”，内容包含全套响应文件）。</w:t>
      </w:r>
      <w:r>
        <w:rPr>
          <w:rFonts w:hint="eastAsia" w:ascii="宋体" w:hAnsi="宋体" w:cs="宋体"/>
          <w:b/>
          <w:color w:val="auto"/>
          <w:szCs w:val="21"/>
          <w:highlight w:val="none"/>
        </w:rPr>
        <w:t>正本、副本、电子文档均应当密封，</w:t>
      </w:r>
      <w:r>
        <w:rPr>
          <w:rFonts w:hint="eastAsia" w:ascii="宋体" w:hAnsi="宋体" w:cs="宋体"/>
          <w:color w:val="auto"/>
          <w:szCs w:val="21"/>
          <w:highlight w:val="none"/>
        </w:rPr>
        <w:t>所有</w:t>
      </w:r>
      <w:r>
        <w:rPr>
          <w:rFonts w:ascii="宋体" w:hAnsi="宋体" w:cs="宋体"/>
          <w:color w:val="auto"/>
          <w:szCs w:val="21"/>
          <w:highlight w:val="none"/>
        </w:rPr>
        <w:t>封袋上</w:t>
      </w:r>
      <w:r>
        <w:rPr>
          <w:rFonts w:hint="eastAsia" w:ascii="宋体" w:hAnsi="宋体" w:cs="宋体"/>
          <w:color w:val="auto"/>
          <w:szCs w:val="21"/>
          <w:highlight w:val="none"/>
        </w:rPr>
        <w:t>都应写明供应商名称、项目名称</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w:t>
      </w:r>
      <w:r>
        <w:rPr>
          <w:rFonts w:hint="eastAsia" w:ascii="宋体" w:hAnsi="宋体" w:cs="宋体"/>
          <w:color w:val="auto"/>
          <w:szCs w:val="21"/>
          <w:highlight w:val="none"/>
        </w:rPr>
        <w:t>年月日，加盖供应商公章。</w:t>
      </w:r>
      <w:r>
        <w:rPr>
          <w:rFonts w:hint="eastAsia" w:ascii="宋体" w:hAnsi="宋体" w:cs="宋体"/>
          <w:color w:val="auto"/>
          <w:szCs w:val="21"/>
          <w:highlight w:val="none"/>
        </w:rPr>
        <w:t>纸质版投标文件正本和副本如有不一致之处，以纸质版正本为准。</w:t>
      </w:r>
    </w:p>
    <w:p w14:paraId="3B906DE2">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left"/>
        <w:textAlignment w:val="auto"/>
        <w:rPr>
          <w:rFonts w:ascii="宋体" w:cs="宋体"/>
          <w:bCs/>
          <w:color w:val="auto"/>
          <w:kern w:val="0"/>
          <w:szCs w:val="21"/>
          <w:highlight w:val="none"/>
        </w:rPr>
      </w:pPr>
      <w:r>
        <w:rPr>
          <w:rFonts w:hint="eastAsia" w:ascii="宋体" w:cs="宋体"/>
          <w:bCs/>
          <w:color w:val="auto"/>
          <w:kern w:val="0"/>
          <w:szCs w:val="21"/>
          <w:highlight w:val="none"/>
          <w:lang w:val="en-US" w:eastAsia="zh-CN"/>
        </w:rPr>
        <w:t>3</w:t>
      </w:r>
      <w:r>
        <w:rPr>
          <w:rFonts w:hint="eastAsia" w:ascii="宋体" w:cs="宋体"/>
          <w:bCs/>
          <w:color w:val="auto"/>
          <w:kern w:val="0"/>
          <w:szCs w:val="21"/>
          <w:highlight w:val="none"/>
        </w:rPr>
        <w:t>.供应商应保证所提供的上述资料的真实性和合法性。</w:t>
      </w:r>
    </w:p>
    <w:p w14:paraId="28DB5509">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1"/>
        <w:rPr>
          <w:rFonts w:ascii="宋体" w:cs="Arial"/>
          <w:b/>
          <w:color w:val="auto"/>
          <w:szCs w:val="21"/>
          <w:highlight w:val="none"/>
        </w:rPr>
      </w:pPr>
      <w:r>
        <w:rPr>
          <w:rFonts w:hint="eastAsia" w:ascii="宋体" w:hAnsi="宋体" w:cs="宋体"/>
          <w:b w:val="0"/>
          <w:bCs/>
          <w:color w:val="auto"/>
          <w:kern w:val="0"/>
          <w:szCs w:val="21"/>
          <w:highlight w:val="none"/>
          <w:lang w:eastAsia="zh-CN"/>
        </w:rPr>
        <w:t>4</w:t>
      </w:r>
      <w:r>
        <w:rPr>
          <w:rFonts w:hint="eastAsia" w:ascii="宋体" w:hAnsi="宋体" w:cs="宋体"/>
          <w:b w:val="0"/>
          <w:bCs/>
          <w:color w:val="auto"/>
          <w:kern w:val="0"/>
          <w:szCs w:val="21"/>
          <w:highlight w:val="none"/>
          <w:lang w:val="en-US" w:eastAsia="zh-CN"/>
        </w:rPr>
        <w:t>.</w:t>
      </w:r>
      <w:r>
        <w:rPr>
          <w:rFonts w:hint="eastAsia" w:ascii="宋体" w:hAnsi="宋体" w:cs="宋体"/>
          <w:b w:val="0"/>
          <w:bCs/>
          <w:color w:val="auto"/>
          <w:kern w:val="0"/>
          <w:szCs w:val="21"/>
          <w:highlight w:val="none"/>
          <w:lang w:eastAsia="zh-CN"/>
        </w:rPr>
        <w:t>供应商违反上述规定的，其响应文件将被作为无效响应文件，不予拆封和参加评审。</w:t>
      </w:r>
      <w:r>
        <w:rPr>
          <w:rFonts w:hint="eastAsia" w:ascii="宋体" w:hAnsi="宋体" w:cs="宋体"/>
          <w:b/>
          <w:color w:val="auto"/>
          <w:kern w:val="0"/>
          <w:szCs w:val="21"/>
          <w:highlight w:val="none"/>
          <w:lang w:eastAsia="zh-CN"/>
        </w:rPr>
        <w:t>三</w:t>
      </w:r>
      <w:r>
        <w:rPr>
          <w:rFonts w:hint="eastAsia" w:ascii="宋体" w:hAnsi="宋体" w:cs="宋体"/>
          <w:b/>
          <w:color w:val="auto"/>
          <w:kern w:val="0"/>
          <w:szCs w:val="21"/>
          <w:highlight w:val="none"/>
        </w:rPr>
        <w:t>、报价要求</w:t>
      </w:r>
    </w:p>
    <w:p w14:paraId="3BDE084B">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eastAsia="宋体" w:cs="Arial"/>
          <w:color w:val="auto"/>
          <w:szCs w:val="21"/>
          <w:highlight w:val="none"/>
          <w:lang w:eastAsia="zh-CN"/>
        </w:rPr>
      </w:pPr>
      <w:r>
        <w:rPr>
          <w:rFonts w:hint="eastAsia" w:ascii="宋体" w:cs="Arial"/>
          <w:color w:val="auto"/>
          <w:szCs w:val="21"/>
          <w:highlight w:val="none"/>
        </w:rPr>
        <w:t>1</w:t>
      </w:r>
      <w:r>
        <w:rPr>
          <w:rFonts w:hint="eastAsia" w:ascii="宋体" w:cs="Arial"/>
          <w:color w:val="auto"/>
          <w:szCs w:val="21"/>
          <w:highlight w:val="none"/>
          <w:lang w:val="en-US" w:eastAsia="zh-CN"/>
        </w:rPr>
        <w:t>.</w:t>
      </w:r>
      <w:r>
        <w:rPr>
          <w:rFonts w:hint="eastAsia" w:ascii="宋体" w:cs="Arial"/>
          <w:color w:val="auto"/>
          <w:szCs w:val="21"/>
          <w:highlight w:val="none"/>
        </w:rPr>
        <w:t>本项目报价为</w:t>
      </w:r>
      <w:r>
        <w:rPr>
          <w:rFonts w:hint="eastAsia" w:ascii="宋体" w:cs="Arial"/>
          <w:color w:val="auto"/>
          <w:szCs w:val="21"/>
          <w:highlight w:val="none"/>
          <w:u w:val="single"/>
        </w:rPr>
        <w:t>固定总价</w:t>
      </w:r>
      <w:r>
        <w:rPr>
          <w:rFonts w:hint="eastAsia" w:ascii="宋体" w:cs="Arial"/>
          <w:color w:val="auto"/>
          <w:szCs w:val="21"/>
          <w:highlight w:val="none"/>
        </w:rPr>
        <w:t>，</w:t>
      </w:r>
      <w:r>
        <w:rPr>
          <w:rFonts w:hint="eastAsia" w:ascii="宋体" w:hAnsi="宋体" w:cs="宋体"/>
          <w:b w:val="0"/>
          <w:bCs/>
          <w:color w:val="auto"/>
          <w:kern w:val="0"/>
          <w:szCs w:val="21"/>
          <w:highlight w:val="none"/>
          <w:lang w:eastAsia="zh-CN"/>
        </w:rPr>
        <w:t>报价货币为人民币，评审时以人民币为准。</w:t>
      </w:r>
      <w:r>
        <w:rPr>
          <w:rFonts w:hint="eastAsia" w:ascii="宋体" w:cs="Arial"/>
          <w:color w:val="auto"/>
          <w:szCs w:val="21"/>
          <w:highlight w:val="none"/>
        </w:rPr>
        <w:t>报价应包括询价通知书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采购人不再支付其他任何费用。</w:t>
      </w:r>
    </w:p>
    <w:p w14:paraId="698608DC">
      <w:pPr>
        <w:keepNext w:val="0"/>
        <w:keepLines w:val="0"/>
        <w:pageBreakBefore w:val="0"/>
        <w:kinsoku/>
        <w:wordWrap/>
        <w:overflowPunct/>
        <w:topLinePunct w:val="0"/>
        <w:autoSpaceDE/>
        <w:autoSpaceDN/>
        <w:bidi w:val="0"/>
        <w:adjustRightInd/>
        <w:spacing w:line="36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b/>
          <w:color w:val="auto"/>
          <w:szCs w:val="21"/>
          <w:highlight w:val="none"/>
        </w:rPr>
        <w:t>本项目的最高限价为</w:t>
      </w:r>
      <w:r>
        <w:rPr>
          <w:rFonts w:hint="eastAsia" w:ascii="宋体" w:hAnsi="宋体" w:cs="宋体"/>
          <w:b/>
          <w:color w:val="auto"/>
          <w:szCs w:val="21"/>
          <w:highlight w:val="none"/>
          <w:lang w:val="en-US" w:eastAsia="zh-CN"/>
        </w:rPr>
        <w:t>189684.12</w:t>
      </w:r>
      <w:r>
        <w:rPr>
          <w:rFonts w:hint="eastAsia" w:ascii="宋体" w:hAnsi="宋体" w:cs="宋体"/>
          <w:b/>
          <w:color w:val="auto"/>
          <w:szCs w:val="21"/>
          <w:highlight w:val="none"/>
        </w:rPr>
        <w:t>元，</w:t>
      </w:r>
      <w:r>
        <w:rPr>
          <w:rFonts w:hint="eastAsia" w:ascii="宋体" w:hAnsi="宋体" w:cs="宋体"/>
          <w:b/>
          <w:color w:val="auto"/>
          <w:szCs w:val="21"/>
          <w:highlight w:val="none"/>
        </w:rPr>
        <w:t>报价高于最高限价的作为无效响应处理。</w:t>
      </w:r>
    </w:p>
    <w:p w14:paraId="08C81ABC">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eastAsia="zh-CN"/>
        </w:rPr>
        <w:t>3</w:t>
      </w:r>
      <w:r>
        <w:rPr>
          <w:rFonts w:hint="eastAsia" w:ascii="宋体" w:hAnsi="宋体" w:cs="宋体"/>
          <w:b w:val="0"/>
          <w:bCs/>
          <w:color w:val="auto"/>
          <w:kern w:val="0"/>
          <w:szCs w:val="21"/>
          <w:highlight w:val="none"/>
          <w:lang w:val="en-US" w:eastAsia="zh-CN"/>
        </w:rPr>
        <w:t>.</w:t>
      </w:r>
      <w:r>
        <w:rPr>
          <w:rFonts w:hint="eastAsia" w:ascii="宋体" w:hAnsi="宋体" w:cs="宋体"/>
          <w:b w:val="0"/>
          <w:bCs/>
          <w:color w:val="auto"/>
          <w:kern w:val="0"/>
          <w:szCs w:val="21"/>
          <w:highlight w:val="none"/>
          <w:lang w:eastAsia="zh-CN"/>
        </w:rPr>
        <w:t>供应商应按照询价通知书中提供的格式完整、正确填写报价一览表、报价明细表。报价明细表中的报价应与报价一览表的总价完全一致，如有不一致的，以报价一览表的报价为准。</w:t>
      </w:r>
    </w:p>
    <w:p w14:paraId="030A13D4">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eastAsia="zh-CN"/>
        </w:rPr>
        <w:t>4</w:t>
      </w:r>
      <w:r>
        <w:rPr>
          <w:rFonts w:hint="eastAsia" w:ascii="宋体" w:hAnsi="宋体" w:cs="宋体"/>
          <w:b w:val="0"/>
          <w:bCs/>
          <w:color w:val="auto"/>
          <w:kern w:val="0"/>
          <w:szCs w:val="21"/>
          <w:highlight w:val="none"/>
          <w:lang w:val="en-US" w:eastAsia="zh-CN"/>
        </w:rPr>
        <w:t>.</w:t>
      </w:r>
      <w:r>
        <w:rPr>
          <w:rFonts w:hint="eastAsia" w:ascii="宋体" w:hAnsi="宋体" w:cs="宋体"/>
          <w:b w:val="0"/>
          <w:bCs/>
          <w:color w:val="auto"/>
          <w:kern w:val="0"/>
          <w:szCs w:val="21"/>
          <w:highlight w:val="none"/>
          <w:lang w:eastAsia="zh-CN"/>
        </w:rPr>
        <w:t>培训服务费用报价：由各供应商根据企业自身情况自行决定是否单列。如供应商单列培训费用，则自行将询价通知书所提供的“报价明细表”格式扩展。</w:t>
      </w:r>
    </w:p>
    <w:p w14:paraId="1F472F24">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eastAsia="zh-CN"/>
        </w:rPr>
        <w:t>5</w:t>
      </w:r>
      <w:r>
        <w:rPr>
          <w:rFonts w:hint="eastAsia" w:ascii="宋体" w:hAnsi="宋体" w:cs="宋体"/>
          <w:b w:val="0"/>
          <w:bCs/>
          <w:color w:val="auto"/>
          <w:kern w:val="0"/>
          <w:szCs w:val="21"/>
          <w:highlight w:val="none"/>
          <w:lang w:val="en-US" w:eastAsia="zh-CN"/>
        </w:rPr>
        <w:t>.</w:t>
      </w:r>
      <w:r>
        <w:rPr>
          <w:rFonts w:hint="eastAsia" w:ascii="宋体" w:hAnsi="宋体" w:cs="宋体"/>
          <w:b w:val="0"/>
          <w:bCs/>
          <w:color w:val="auto"/>
          <w:kern w:val="0"/>
          <w:szCs w:val="21"/>
          <w:highlight w:val="none"/>
          <w:lang w:eastAsia="zh-CN"/>
        </w:rPr>
        <w:t>供应商需对每部分报价包含的服务内容进行明确说明。如有特别承诺，也需明确说明。</w:t>
      </w:r>
    </w:p>
    <w:p w14:paraId="3E9DB99B">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1"/>
        <w:rPr>
          <w:rFonts w:ascii="宋体" w:hAnsi="宋体" w:cs="宋体"/>
          <w:b/>
          <w:color w:val="auto"/>
          <w:kern w:val="0"/>
          <w:szCs w:val="21"/>
          <w:highlight w:val="none"/>
        </w:rPr>
      </w:pPr>
      <w:r>
        <w:rPr>
          <w:rFonts w:hint="eastAsia" w:ascii="宋体" w:hAnsi="宋体" w:cs="宋体"/>
          <w:b/>
          <w:color w:val="auto"/>
          <w:kern w:val="0"/>
          <w:szCs w:val="21"/>
          <w:highlight w:val="none"/>
          <w:lang w:eastAsia="zh-CN"/>
        </w:rPr>
        <w:t>四</w:t>
      </w:r>
      <w:r>
        <w:rPr>
          <w:rFonts w:hint="eastAsia" w:ascii="宋体" w:hAnsi="宋体" w:cs="宋体"/>
          <w:b/>
          <w:color w:val="auto"/>
          <w:kern w:val="0"/>
          <w:szCs w:val="21"/>
          <w:highlight w:val="none"/>
        </w:rPr>
        <w:t>、评审、定标方法</w:t>
      </w:r>
    </w:p>
    <w:p w14:paraId="7930815A">
      <w:pPr>
        <w:keepNext w:val="0"/>
        <w:keepLines w:val="0"/>
        <w:pageBreakBefore w:val="0"/>
        <w:widowControl/>
        <w:kinsoku/>
        <w:wordWrap/>
        <w:overflowPunct/>
        <w:topLinePunct w:val="0"/>
        <w:autoSpaceDE/>
        <w:autoSpaceDN/>
        <w:bidi w:val="0"/>
        <w:adjustRightInd/>
        <w:snapToGrid w:val="0"/>
        <w:spacing w:line="360" w:lineRule="exact"/>
        <w:ind w:firstLine="420" w:firstLineChars="200"/>
        <w:jc w:val="left"/>
        <w:textAlignment w:val="auto"/>
        <w:rPr>
          <w:rFonts w:ascii="宋体" w:cs="宋体"/>
          <w:color w:val="auto"/>
          <w:kern w:val="0"/>
          <w:szCs w:val="21"/>
          <w:highlight w:val="none"/>
        </w:rPr>
      </w:pPr>
      <w:r>
        <w:rPr>
          <w:rFonts w:hint="eastAsia" w:ascii="宋体" w:cs="宋体"/>
          <w:color w:val="auto"/>
          <w:kern w:val="0"/>
          <w:szCs w:val="21"/>
          <w:highlight w:val="none"/>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65ADEF9E">
      <w:pPr>
        <w:spacing w:line="360" w:lineRule="exact"/>
        <w:ind w:firstLine="420" w:firstLineChars="200"/>
        <w:rPr>
          <w:rFonts w:ascii="宋体" w:hAnsi="宋体" w:cs="宋体"/>
          <w:color w:val="auto"/>
          <w:szCs w:val="21"/>
          <w:highlight w:val="none"/>
        </w:rPr>
      </w:pPr>
      <w:r>
        <w:rPr>
          <w:rFonts w:ascii="宋体" w:hAnsi="宋体" w:cs="宋体"/>
          <w:color w:val="auto"/>
          <w:kern w:val="0"/>
          <w:szCs w:val="21"/>
          <w:highlight w:val="none"/>
        </w:rPr>
        <w:t>2.</w:t>
      </w:r>
      <w:r>
        <w:rPr>
          <w:rFonts w:hint="eastAsia" w:ascii="宋体" w:hAnsi="宋体" w:cs="宋体"/>
          <w:color w:val="auto"/>
          <w:szCs w:val="21"/>
          <w:highlight w:val="none"/>
        </w:rPr>
        <w:t>采购人授权询价小组直接确定成交供应商。</w:t>
      </w:r>
    </w:p>
    <w:p w14:paraId="41EF7267">
      <w:pPr>
        <w:keepNext w:val="0"/>
        <w:keepLines w:val="0"/>
        <w:pageBreakBefore w:val="0"/>
        <w:kinsoku/>
        <w:wordWrap/>
        <w:overflowPunct/>
        <w:topLinePunct w:val="0"/>
        <w:autoSpaceDE/>
        <w:autoSpaceDN/>
        <w:bidi w:val="0"/>
        <w:adjustRightInd/>
        <w:spacing w:line="360" w:lineRule="exact"/>
        <w:ind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lang w:eastAsia="zh-CN"/>
        </w:rPr>
        <w:t>五、</w:t>
      </w:r>
      <w:r>
        <w:rPr>
          <w:rFonts w:hint="eastAsia" w:ascii="宋体" w:hAnsi="宋体" w:cs="宋体"/>
          <w:b/>
          <w:color w:val="auto"/>
          <w:szCs w:val="21"/>
          <w:highlight w:val="none"/>
        </w:rPr>
        <w:t>出现下列情形之一的，终止</w:t>
      </w:r>
      <w:r>
        <w:rPr>
          <w:rFonts w:hint="eastAsia" w:ascii="宋体" w:hAnsi="宋体" w:cs="宋体"/>
          <w:b/>
          <w:color w:val="auto"/>
          <w:szCs w:val="21"/>
          <w:highlight w:val="none"/>
          <w:lang w:eastAsia="zh-CN"/>
        </w:rPr>
        <w:t>询价采购</w:t>
      </w:r>
      <w:r>
        <w:rPr>
          <w:rFonts w:hint="eastAsia" w:ascii="宋体" w:hAnsi="宋体" w:cs="宋体"/>
          <w:b/>
          <w:color w:val="auto"/>
          <w:szCs w:val="21"/>
          <w:highlight w:val="none"/>
        </w:rPr>
        <w:t>活动</w:t>
      </w:r>
    </w:p>
    <w:p w14:paraId="54B39216">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1"/>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val="en-US" w:eastAsia="zh-CN"/>
        </w:rPr>
        <w:t>1.</w:t>
      </w:r>
      <w:r>
        <w:rPr>
          <w:rFonts w:hint="eastAsia" w:ascii="宋体" w:hAnsi="宋体" w:cs="宋体"/>
          <w:b w:val="0"/>
          <w:bCs/>
          <w:color w:val="auto"/>
          <w:kern w:val="0"/>
          <w:szCs w:val="21"/>
          <w:highlight w:val="none"/>
          <w:lang w:eastAsia="zh-CN"/>
        </w:rPr>
        <w:t>因情况变化，不再符合规定的询价采购方式适用情形的；</w:t>
      </w:r>
    </w:p>
    <w:p w14:paraId="53A38522">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1"/>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val="en-US" w:eastAsia="zh-CN"/>
        </w:rPr>
        <w:t>2.</w:t>
      </w:r>
      <w:r>
        <w:rPr>
          <w:rFonts w:hint="eastAsia" w:ascii="宋体" w:hAnsi="宋体" w:cs="宋体"/>
          <w:b w:val="0"/>
          <w:bCs/>
          <w:color w:val="auto"/>
          <w:kern w:val="0"/>
          <w:szCs w:val="21"/>
          <w:highlight w:val="none"/>
          <w:lang w:eastAsia="zh-CN"/>
        </w:rPr>
        <w:t>出现影响采购公正的违法、违规行为的；</w:t>
      </w:r>
    </w:p>
    <w:p w14:paraId="6DBA5B8F">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1"/>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val="en-US" w:eastAsia="zh-CN"/>
        </w:rPr>
        <w:t>3.</w:t>
      </w:r>
      <w:r>
        <w:rPr>
          <w:rFonts w:hint="eastAsia" w:ascii="宋体" w:hAnsi="宋体" w:cs="宋体"/>
          <w:b w:val="0"/>
          <w:bCs/>
          <w:color w:val="auto"/>
          <w:kern w:val="0"/>
          <w:szCs w:val="21"/>
          <w:highlight w:val="none"/>
          <w:lang w:eastAsia="zh-CN"/>
        </w:rPr>
        <w:t>在采购过程中符合竞争要求的供应商或者报价未超过采购预算</w:t>
      </w:r>
      <w:r>
        <w:rPr>
          <w:rFonts w:hint="eastAsia" w:ascii="宋体" w:hAnsi="宋体" w:cs="宋体"/>
          <w:b w:val="0"/>
          <w:bCs/>
          <w:color w:val="auto"/>
          <w:kern w:val="0"/>
          <w:szCs w:val="21"/>
          <w:highlight w:val="none"/>
          <w:lang w:eastAsia="zh-CN"/>
        </w:rPr>
        <w:t>或最高限价</w:t>
      </w:r>
      <w:r>
        <w:rPr>
          <w:rFonts w:hint="eastAsia" w:ascii="宋体" w:hAnsi="宋体" w:cs="宋体"/>
          <w:b w:val="0"/>
          <w:bCs/>
          <w:color w:val="auto"/>
          <w:kern w:val="0"/>
          <w:szCs w:val="21"/>
          <w:highlight w:val="none"/>
          <w:lang w:eastAsia="zh-CN"/>
        </w:rPr>
        <w:t>的供应商</w:t>
      </w:r>
      <w:r>
        <w:rPr>
          <w:rFonts w:hint="eastAsia" w:ascii="宋体" w:hAnsi="宋体" w:cs="宋体"/>
          <w:b w:val="0"/>
          <w:bCs/>
          <w:color w:val="auto"/>
          <w:kern w:val="0"/>
          <w:szCs w:val="21"/>
          <w:highlight w:val="none"/>
          <w:lang w:eastAsia="zh-CN"/>
        </w:rPr>
        <w:t>不足</w:t>
      </w:r>
      <w:r>
        <w:rPr>
          <w:rFonts w:hint="eastAsia" w:ascii="宋体" w:hAnsi="宋体" w:cs="宋体"/>
          <w:b w:val="0"/>
          <w:bCs/>
          <w:color w:val="auto"/>
          <w:kern w:val="0"/>
          <w:szCs w:val="21"/>
          <w:highlight w:val="none"/>
          <w:lang w:val="en-US" w:eastAsia="zh-CN"/>
        </w:rPr>
        <w:t>2</w:t>
      </w:r>
      <w:r>
        <w:rPr>
          <w:rFonts w:hint="eastAsia" w:ascii="宋体" w:hAnsi="宋体" w:cs="宋体"/>
          <w:b w:val="0"/>
          <w:bCs/>
          <w:color w:val="auto"/>
          <w:kern w:val="0"/>
          <w:szCs w:val="21"/>
          <w:highlight w:val="none"/>
          <w:lang w:eastAsia="zh-CN"/>
        </w:rPr>
        <w:t>家的。</w:t>
      </w:r>
    </w:p>
    <w:p w14:paraId="28D997C6">
      <w:pPr>
        <w:ind w:firstLine="422" w:firstLineChars="200"/>
        <w:outlineLvl w:val="1"/>
        <w:rPr>
          <w:rFonts w:ascii="宋体" w:hAnsi="宋体" w:cs="宋体"/>
          <w:b/>
          <w:color w:val="auto"/>
          <w:kern w:val="0"/>
          <w:szCs w:val="21"/>
          <w:highlight w:val="none"/>
        </w:rPr>
      </w:pPr>
      <w:r>
        <w:rPr>
          <w:rFonts w:hint="eastAsia" w:ascii="宋体" w:hAnsi="宋体" w:cs="宋体"/>
          <w:b/>
          <w:color w:val="auto"/>
          <w:kern w:val="0"/>
          <w:szCs w:val="21"/>
          <w:highlight w:val="none"/>
          <w:lang w:eastAsia="zh-CN"/>
        </w:rPr>
        <w:t>六</w:t>
      </w:r>
      <w:r>
        <w:rPr>
          <w:rFonts w:ascii="宋体" w:hAnsi="宋体" w:cs="宋体"/>
          <w:b/>
          <w:color w:val="auto"/>
          <w:kern w:val="0"/>
          <w:szCs w:val="21"/>
          <w:highlight w:val="none"/>
        </w:rPr>
        <w:t>、</w:t>
      </w:r>
      <w:r>
        <w:rPr>
          <w:rFonts w:hint="eastAsia" w:ascii="宋体" w:hAnsi="宋体" w:cs="宋体"/>
          <w:b/>
          <w:color w:val="auto"/>
          <w:kern w:val="0"/>
          <w:szCs w:val="21"/>
          <w:highlight w:val="none"/>
        </w:rPr>
        <w:t>成交结果及公示</w:t>
      </w:r>
    </w:p>
    <w:p w14:paraId="22508BC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代理机构将成交结果在</w:t>
      </w:r>
      <w:r>
        <w:rPr>
          <w:rFonts w:hint="eastAsia" w:ascii="宋体" w:hAnsi="宋体"/>
          <w:color w:val="auto"/>
          <w:szCs w:val="21"/>
          <w:highlight w:val="none"/>
        </w:rPr>
        <w:t>原公告媒体</w:t>
      </w:r>
      <w:r>
        <w:rPr>
          <w:rFonts w:hint="eastAsia" w:ascii="宋体" w:hAnsi="宋体" w:cs="宋体"/>
          <w:color w:val="auto"/>
          <w:szCs w:val="21"/>
          <w:highlight w:val="none"/>
        </w:rPr>
        <w:t>上予以公告。公告期限为自公告发布之日起1个工作日。</w:t>
      </w:r>
    </w:p>
    <w:p w14:paraId="14403675">
      <w:pPr>
        <w:ind w:firstLine="422" w:firstLineChars="200"/>
        <w:outlineLvl w:val="1"/>
        <w:rPr>
          <w:rFonts w:ascii="宋体" w:hAnsi="宋体" w:cs="宋体"/>
          <w:b/>
          <w:color w:val="auto"/>
          <w:kern w:val="0"/>
          <w:szCs w:val="21"/>
          <w:highlight w:val="none"/>
        </w:rPr>
      </w:pPr>
      <w:r>
        <w:rPr>
          <w:rFonts w:hint="eastAsia" w:ascii="宋体" w:hAnsi="宋体" w:cs="宋体"/>
          <w:b/>
          <w:color w:val="auto"/>
          <w:kern w:val="0"/>
          <w:szCs w:val="21"/>
          <w:highlight w:val="none"/>
          <w:lang w:eastAsia="zh-CN"/>
        </w:rPr>
        <w:t>七</w:t>
      </w:r>
      <w:r>
        <w:rPr>
          <w:rFonts w:hint="eastAsia" w:ascii="宋体" w:hAnsi="宋体" w:cs="宋体"/>
          <w:b/>
          <w:color w:val="auto"/>
          <w:kern w:val="0"/>
          <w:szCs w:val="21"/>
          <w:highlight w:val="none"/>
        </w:rPr>
        <w:t>、成交通知书</w:t>
      </w:r>
    </w:p>
    <w:p w14:paraId="48747943">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成交结果确定后，代理机构将向成交供应商发出成交通知书。</w:t>
      </w:r>
    </w:p>
    <w:p w14:paraId="2D883667">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成交通知对采购人和成交供应商具有法律约束力。成交通知书发出后，采购人改变成交结果或者成交单位供应商放弃成交资格，均应当承担相应的法律责任，且不影响成交服务费的支付。</w:t>
      </w:r>
    </w:p>
    <w:p w14:paraId="617C2794">
      <w:pPr>
        <w:ind w:firstLine="420" w:firstLineChars="200"/>
        <w:outlineLvl w:val="1"/>
        <w:rPr>
          <w:rFonts w:hint="eastAsia" w:ascii="宋体" w:hAnsi="宋体" w:cs="宋体"/>
          <w:b w:val="0"/>
          <w:bCs/>
          <w:color w:val="auto"/>
          <w:kern w:val="0"/>
          <w:szCs w:val="21"/>
          <w:highlight w:val="none"/>
          <w:lang w:eastAsia="zh-CN"/>
        </w:rPr>
      </w:pPr>
      <w:r>
        <w:rPr>
          <w:rFonts w:hint="eastAsia" w:ascii="宋体" w:hAnsi="宋体" w:cs="宋体"/>
          <w:b w:val="0"/>
          <w:bCs/>
          <w:color w:val="auto"/>
          <w:kern w:val="0"/>
          <w:szCs w:val="21"/>
          <w:highlight w:val="none"/>
          <w:lang w:eastAsia="zh-CN"/>
        </w:rPr>
        <w:t>3</w:t>
      </w:r>
      <w:r>
        <w:rPr>
          <w:rFonts w:hint="eastAsia" w:ascii="宋体" w:hAnsi="宋体" w:cs="宋体"/>
          <w:b w:val="0"/>
          <w:bCs/>
          <w:color w:val="auto"/>
          <w:kern w:val="0"/>
          <w:szCs w:val="21"/>
          <w:highlight w:val="none"/>
          <w:lang w:val="en-US" w:eastAsia="zh-CN"/>
        </w:rPr>
        <w:t>.</w:t>
      </w:r>
      <w:r>
        <w:rPr>
          <w:rFonts w:hint="eastAsia" w:ascii="宋体" w:hAnsi="宋体" w:cs="宋体"/>
          <w:b w:val="0"/>
          <w:bCs/>
          <w:color w:val="auto"/>
          <w:kern w:val="0"/>
          <w:szCs w:val="21"/>
          <w:highlight w:val="none"/>
          <w:lang w:eastAsia="zh-CN"/>
        </w:rPr>
        <w:t>采购人及代理机构对未成交供应商不承担解释未成交原因的义务。</w:t>
      </w:r>
    </w:p>
    <w:p w14:paraId="0CB557AB">
      <w:pPr>
        <w:ind w:firstLine="422" w:firstLineChars="200"/>
        <w:outlineLvl w:val="1"/>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八</w:t>
      </w:r>
      <w:r>
        <w:rPr>
          <w:rFonts w:hint="eastAsia" w:ascii="宋体" w:hAnsi="宋体" w:cs="宋体"/>
          <w:b/>
          <w:color w:val="auto"/>
          <w:kern w:val="0"/>
          <w:szCs w:val="21"/>
          <w:highlight w:val="none"/>
        </w:rPr>
        <w:t>、代理机构服务费</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0"/>
        <w:gridCol w:w="3721"/>
      </w:tblGrid>
      <w:tr w14:paraId="344C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16" w:type="pct"/>
          </w:tcPr>
          <w:p w14:paraId="6ADFFF67">
            <w:pPr>
              <w:jc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szCs w:val="21"/>
                <w:highlight w:val="none"/>
              </w:rPr>
              <w:t>中标金额</w:t>
            </w:r>
          </w:p>
        </w:tc>
        <w:tc>
          <w:tcPr>
            <w:tcW w:w="2183" w:type="pct"/>
            <w:vAlign w:val="center"/>
          </w:tcPr>
          <w:p w14:paraId="2E56000A">
            <w:pPr>
              <w:jc w:val="center"/>
              <w:rPr>
                <w:rFonts w:hint="eastAsia" w:asciiTheme="minorEastAsia" w:hAnsiTheme="minorEastAsia" w:eastAsiaTheme="minorEastAsia" w:cstheme="minorEastAsia"/>
                <w:b/>
                <w:bCs w:val="0"/>
                <w:color w:val="auto"/>
                <w:szCs w:val="21"/>
                <w:highlight w:val="none"/>
                <w:lang w:eastAsia="zh-CN"/>
              </w:rPr>
            </w:pPr>
            <w:r>
              <w:rPr>
                <w:rFonts w:hint="eastAsia" w:asciiTheme="minorEastAsia" w:hAnsiTheme="minorEastAsia" w:eastAsiaTheme="minorEastAsia" w:cstheme="minorEastAsia"/>
                <w:b/>
                <w:bCs w:val="0"/>
                <w:color w:val="auto"/>
                <w:szCs w:val="21"/>
                <w:highlight w:val="none"/>
                <w:lang w:eastAsia="zh-CN"/>
              </w:rPr>
              <w:t>服务费金额</w:t>
            </w:r>
          </w:p>
        </w:tc>
      </w:tr>
      <w:tr w14:paraId="38F3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6" w:type="pct"/>
          </w:tcPr>
          <w:p w14:paraId="6E95D9B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eastAsia="zh-CN"/>
              </w:rPr>
              <w:t>10万元（不含）以下</w:t>
            </w:r>
          </w:p>
        </w:tc>
        <w:tc>
          <w:tcPr>
            <w:tcW w:w="2183" w:type="pct"/>
          </w:tcPr>
          <w:p w14:paraId="05CD8850">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eastAsia="zh-CN"/>
              </w:rPr>
              <w:t>1000</w:t>
            </w:r>
            <w:r>
              <w:rPr>
                <w:rFonts w:hint="eastAsia" w:asciiTheme="minorEastAsia" w:hAnsiTheme="minorEastAsia" w:eastAsiaTheme="minorEastAsia" w:cstheme="minorEastAsia"/>
                <w:bCs/>
                <w:color w:val="auto"/>
                <w:szCs w:val="21"/>
                <w:highlight w:val="none"/>
                <w:lang w:eastAsia="zh-CN"/>
              </w:rPr>
              <w:t>元</w:t>
            </w:r>
          </w:p>
        </w:tc>
      </w:tr>
      <w:tr w14:paraId="4470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6" w:type="pct"/>
          </w:tcPr>
          <w:p w14:paraId="635CDCA5">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eastAsia="zh-CN"/>
              </w:rPr>
              <w:t>10万元（含）至20万元（不含）</w:t>
            </w:r>
          </w:p>
        </w:tc>
        <w:tc>
          <w:tcPr>
            <w:tcW w:w="2183" w:type="pct"/>
          </w:tcPr>
          <w:p w14:paraId="7C899043">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eastAsia="zh-CN"/>
              </w:rPr>
              <w:t>1500</w:t>
            </w:r>
            <w:r>
              <w:rPr>
                <w:rFonts w:hint="eastAsia" w:asciiTheme="minorEastAsia" w:hAnsiTheme="minorEastAsia" w:eastAsiaTheme="minorEastAsia" w:cstheme="minorEastAsia"/>
                <w:bCs/>
                <w:color w:val="auto"/>
                <w:szCs w:val="21"/>
                <w:highlight w:val="none"/>
                <w:lang w:eastAsia="zh-CN"/>
              </w:rPr>
              <w:t>元</w:t>
            </w:r>
          </w:p>
        </w:tc>
      </w:tr>
      <w:tr w14:paraId="4AC5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6" w:type="pct"/>
          </w:tcPr>
          <w:p w14:paraId="23DB8901">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eastAsia="zh-CN"/>
              </w:rPr>
              <w:t>20万元（含）至30万元（不含）</w:t>
            </w:r>
          </w:p>
        </w:tc>
        <w:tc>
          <w:tcPr>
            <w:tcW w:w="2183" w:type="pct"/>
          </w:tcPr>
          <w:p w14:paraId="3823A6DB">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eastAsia="zh-CN"/>
              </w:rPr>
              <w:t>2000</w:t>
            </w:r>
            <w:r>
              <w:rPr>
                <w:rFonts w:hint="eastAsia" w:asciiTheme="minorEastAsia" w:hAnsiTheme="minorEastAsia" w:eastAsiaTheme="minorEastAsia" w:cstheme="minorEastAsia"/>
                <w:bCs/>
                <w:color w:val="auto"/>
                <w:szCs w:val="21"/>
                <w:highlight w:val="none"/>
                <w:lang w:eastAsia="zh-CN"/>
              </w:rPr>
              <w:t>元</w:t>
            </w:r>
          </w:p>
        </w:tc>
      </w:tr>
    </w:tbl>
    <w:p w14:paraId="76714672">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服务费按照上述标准收取并</w:t>
      </w:r>
      <w:r>
        <w:rPr>
          <w:rFonts w:ascii="宋体" w:hAnsi="宋体" w:cs="宋体"/>
          <w:b/>
          <w:color w:val="auto"/>
          <w:szCs w:val="21"/>
          <w:highlight w:val="none"/>
        </w:rPr>
        <w:t>由成交供应商承担</w:t>
      </w:r>
      <w:r>
        <w:rPr>
          <w:rFonts w:hint="eastAsia" w:ascii="宋体" w:hAnsi="宋体" w:cs="宋体"/>
          <w:b/>
          <w:color w:val="auto"/>
          <w:szCs w:val="21"/>
          <w:highlight w:val="none"/>
        </w:rPr>
        <w:t>，成交供应商应在领取成交通知书时将代理机构服务费付至常州市城投建设工程招标有限公司账户。</w:t>
      </w:r>
    </w:p>
    <w:p w14:paraId="5777944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收款单位：常州市城投建设工程招标有限公司</w:t>
      </w:r>
    </w:p>
    <w:p w14:paraId="29BB3F8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开户银行：中国建设银行常州大成苑支行</w:t>
      </w:r>
    </w:p>
    <w:p w14:paraId="24EC641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b/>
          <w:color w:val="auto"/>
          <w:szCs w:val="21"/>
          <w:highlight w:val="none"/>
        </w:rPr>
      </w:pPr>
      <w:r>
        <w:rPr>
          <w:rFonts w:hint="eastAsia" w:ascii="宋体" w:hAnsi="宋体" w:cs="宋体"/>
          <w:b w:val="0"/>
          <w:bCs/>
          <w:color w:val="auto"/>
          <w:szCs w:val="21"/>
          <w:highlight w:val="none"/>
        </w:rPr>
        <w:t>银行账号：32001624236052500905</w:t>
      </w:r>
      <w:r>
        <w:rPr>
          <w:rFonts w:ascii="宋体" w:hAnsi="宋体" w:cs="宋体"/>
          <w:b/>
          <w:color w:val="auto"/>
          <w:szCs w:val="21"/>
          <w:highlight w:val="none"/>
        </w:rPr>
        <mc:AlternateContent>
          <mc:Choice Requires="wps">
            <w:drawing>
              <wp:anchor distT="0" distB="0" distL="114300" distR="114300" simplePos="0" relativeHeight="251662336"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16"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任意多边形 5" o:spid="_x0000_s1026" o:spt="100" style="position:absolute;left:0pt;margin-left:161.85pt;margin-top:17.65pt;height:0.75pt;width:0pt;mso-position-horizontal-relative:page;z-index:-251654144;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GEwoKXYAAAACQEAAA8AAAAAAAAAAQAgAAAAIgAAAGRycy9kb3du&#10;cmV2LnhtbFBLAQIUABQAAAAIAIdO4kA3Pv7aqgIAAMUFAAAOAAAAAAAAAAEAIAAAACcBAABkcnMv&#10;ZTJvRG9jLnhtbFBLBQYAAAAABgAGAFkBAABDBgAAAAA=&#10;" path="m0,0l0,15e">
                <v:path o:connectlocs="0,0;0,7143" o:connectangles="0,0"/>
                <v:fill on="f" focussize="0,0"/>
                <v:stroke weight="0.05pt" color="#000000" joinstyle="round"/>
                <v:imagedata o:title=""/>
                <o:lock v:ext="edit" aspectratio="f"/>
              </v:shape>
            </w:pict>
          </mc:Fallback>
        </mc:AlternateContent>
      </w:r>
    </w:p>
    <w:p w14:paraId="2B3AB836">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十、合同签订</w:t>
      </w:r>
    </w:p>
    <w:p w14:paraId="2660C04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1</w:t>
      </w:r>
      <w:r>
        <w:rPr>
          <w:rFonts w:hint="eastAsia" w:ascii="宋体" w:hAnsi="宋体" w:cs="宋体"/>
          <w:b w:val="0"/>
          <w:bCs/>
          <w:color w:val="auto"/>
          <w:kern w:val="0"/>
          <w:szCs w:val="21"/>
          <w:highlight w:val="none"/>
          <w:lang w:val="en-US" w:eastAsia="zh-CN"/>
        </w:rPr>
        <w:t>.</w:t>
      </w:r>
      <w:r>
        <w:rPr>
          <w:rFonts w:hint="eastAsia" w:ascii="宋体" w:hAnsi="宋体" w:cs="宋体"/>
          <w:b w:val="0"/>
          <w:bCs/>
          <w:color w:val="auto"/>
          <w:kern w:val="0"/>
          <w:szCs w:val="21"/>
          <w:highlight w:val="none"/>
        </w:rPr>
        <w:t>成交供应商应当在成交通知书发出之日起30日内与采购人签订采购合同。</w:t>
      </w:r>
    </w:p>
    <w:p w14:paraId="7184DA9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2</w:t>
      </w:r>
      <w:r>
        <w:rPr>
          <w:rFonts w:hint="eastAsia" w:ascii="宋体" w:hAnsi="宋体" w:cs="宋体"/>
          <w:b w:val="0"/>
          <w:bCs/>
          <w:color w:val="auto"/>
          <w:kern w:val="0"/>
          <w:szCs w:val="21"/>
          <w:highlight w:val="none"/>
          <w:lang w:val="en-US" w:eastAsia="zh-CN"/>
        </w:rPr>
        <w:t>.</w:t>
      </w:r>
      <w:r>
        <w:rPr>
          <w:rFonts w:hint="eastAsia" w:ascii="宋体" w:hAnsi="宋体" w:cs="宋体"/>
          <w:b w:val="0"/>
          <w:bCs/>
          <w:color w:val="auto"/>
          <w:kern w:val="0"/>
          <w:szCs w:val="21"/>
          <w:highlight w:val="none"/>
        </w:rPr>
        <w:t>询价通知书、供应商的询价响应文件及询价过程中有关澄清、承诺文件均作为合同附件。</w:t>
      </w:r>
    </w:p>
    <w:p w14:paraId="02644B4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3</w:t>
      </w:r>
      <w:r>
        <w:rPr>
          <w:rFonts w:hint="eastAsia" w:ascii="宋体" w:hAnsi="宋体" w:cs="宋体"/>
          <w:b w:val="0"/>
          <w:bCs/>
          <w:color w:val="auto"/>
          <w:kern w:val="0"/>
          <w:szCs w:val="21"/>
          <w:highlight w:val="none"/>
          <w:lang w:val="en-US" w:eastAsia="zh-CN"/>
        </w:rPr>
        <w:t>.</w:t>
      </w:r>
      <w:r>
        <w:rPr>
          <w:rFonts w:hint="eastAsia" w:ascii="宋体" w:hAnsi="宋体" w:cs="宋体"/>
          <w:b w:val="0"/>
          <w:bCs/>
          <w:color w:val="auto"/>
          <w:kern w:val="0"/>
          <w:szCs w:val="21"/>
          <w:highlight w:val="none"/>
        </w:rPr>
        <w:t>合同履行中，采购人需追加与合同标的相同的货物或服务的，在不改变合同其他条款的前提下，可以与成交供应商协商签订补充合同，但所有补充合同的采购金额不超过原合同金额10%。</w:t>
      </w:r>
    </w:p>
    <w:p w14:paraId="6A23A04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1"/>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4</w:t>
      </w:r>
      <w:r>
        <w:rPr>
          <w:rFonts w:hint="eastAsia" w:ascii="宋体" w:hAnsi="宋体" w:cs="宋体"/>
          <w:b w:val="0"/>
          <w:bCs/>
          <w:color w:val="auto"/>
          <w:kern w:val="0"/>
          <w:szCs w:val="21"/>
          <w:highlight w:val="none"/>
          <w:lang w:val="en-US" w:eastAsia="zh-CN"/>
        </w:rPr>
        <w:t>.</w:t>
      </w:r>
      <w:r>
        <w:rPr>
          <w:rFonts w:hint="eastAsia" w:ascii="宋体" w:hAnsi="宋体" w:cs="宋体"/>
          <w:b w:val="0"/>
          <w:bCs/>
          <w:color w:val="auto"/>
          <w:kern w:val="0"/>
          <w:szCs w:val="21"/>
          <w:highlight w:val="none"/>
        </w:rPr>
        <w:t>成交供应商因不可抗力导致无法按期签订合同的，应当在不可抗力发生之日起2日内提出，并提供书面证据，采购人及成交供应商互不承担任何责任及损失。如成交供应商无正当理由未按期签订合同的，视为自动放弃成交资格，并承担违约责任，采购人可以与排位在成交供应商之后第一位的候选人签订合同或重新委托进行采购。</w:t>
      </w:r>
    </w:p>
    <w:p w14:paraId="4F9FB6A2">
      <w:pPr>
        <w:ind w:firstLine="422" w:firstLineChars="200"/>
        <w:jc w:val="both"/>
        <w:rPr>
          <w:rFonts w:hint="eastAsia" w:ascii="宋体" w:hAnsi="宋体" w:cs="宋体"/>
          <w:b/>
          <w:color w:val="auto"/>
          <w:sz w:val="30"/>
          <w:szCs w:val="30"/>
          <w:highlight w:val="none"/>
        </w:rPr>
      </w:pPr>
      <w:r>
        <w:rPr>
          <w:rFonts w:hint="eastAsia" w:ascii="宋体" w:hAnsi="宋体" w:cs="宋体"/>
          <w:b/>
          <w:color w:val="auto"/>
          <w:kern w:val="0"/>
          <w:szCs w:val="21"/>
          <w:highlight w:val="none"/>
        </w:rPr>
        <w:t>十</w:t>
      </w:r>
      <w:r>
        <w:rPr>
          <w:rFonts w:hint="eastAsia" w:ascii="宋体" w:hAnsi="宋体" w:cs="宋体"/>
          <w:b/>
          <w:color w:val="auto"/>
          <w:kern w:val="0"/>
          <w:szCs w:val="21"/>
          <w:highlight w:val="none"/>
          <w:lang w:val="en-US" w:eastAsia="zh-CN"/>
        </w:rPr>
        <w:t>一</w:t>
      </w:r>
      <w:r>
        <w:rPr>
          <w:rFonts w:hint="eastAsia" w:ascii="宋体" w:hAnsi="宋体" w:cs="宋体"/>
          <w:b/>
          <w:color w:val="auto"/>
          <w:kern w:val="0"/>
          <w:szCs w:val="21"/>
          <w:highlight w:val="none"/>
        </w:rPr>
        <w:t>、合同主要条款</w:t>
      </w:r>
    </w:p>
    <w:p w14:paraId="7DD34E2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Cs w:val="21"/>
          <w:highlight w:val="none"/>
        </w:rPr>
      </w:pPr>
      <w:r>
        <w:rPr>
          <w:rFonts w:hint="eastAsia" w:ascii="宋体" w:hAnsi="宋体" w:cs="宋体"/>
          <w:b/>
          <w:color w:val="auto"/>
          <w:szCs w:val="21"/>
          <w:highlight w:val="none"/>
          <w:lang w:val="zh-CN"/>
        </w:rPr>
        <w:t>采购人</w:t>
      </w:r>
      <w:r>
        <w:rPr>
          <w:rFonts w:ascii="宋体" w:hAnsi="宋体" w:cs="宋体"/>
          <w:b/>
          <w:color w:val="auto"/>
          <w:szCs w:val="21"/>
          <w:highlight w:val="none"/>
          <w:lang w:val="zh-CN"/>
        </w:rPr>
        <w:t>（</w:t>
      </w:r>
      <w:r>
        <w:rPr>
          <w:rFonts w:hint="eastAsia" w:ascii="宋体" w:hAnsi="宋体" w:cs="宋体"/>
          <w:b/>
          <w:color w:val="auto"/>
          <w:szCs w:val="21"/>
          <w:highlight w:val="none"/>
          <w:lang w:val="zh-CN"/>
        </w:rPr>
        <w:t>以下</w:t>
      </w:r>
      <w:r>
        <w:rPr>
          <w:rFonts w:ascii="宋体" w:hAnsi="宋体" w:cs="宋体"/>
          <w:b/>
          <w:color w:val="auto"/>
          <w:szCs w:val="21"/>
          <w:highlight w:val="none"/>
          <w:lang w:val="zh-CN"/>
        </w:rPr>
        <w:t>称</w:t>
      </w:r>
      <w:r>
        <w:rPr>
          <w:rFonts w:hint="eastAsia" w:ascii="宋体" w:hAnsi="宋体" w:cs="宋体"/>
          <w:b/>
          <w:color w:val="auto"/>
          <w:szCs w:val="21"/>
          <w:highlight w:val="none"/>
          <w:lang w:val="zh-CN"/>
        </w:rPr>
        <w:t>甲</w:t>
      </w:r>
      <w:r>
        <w:rPr>
          <w:rFonts w:hint="eastAsia" w:ascii="宋体" w:hAnsi="宋体" w:cs="宋体"/>
          <w:b/>
          <w:color w:val="auto"/>
          <w:szCs w:val="21"/>
          <w:highlight w:val="none"/>
        </w:rPr>
        <w:t xml:space="preserve">方）: </w:t>
      </w:r>
      <w:r>
        <w:rPr>
          <w:rFonts w:ascii="宋体" w:hAnsi="宋体" w:cs="宋体"/>
          <w:b/>
          <w:color w:val="auto"/>
          <w:szCs w:val="21"/>
          <w:highlight w:val="none"/>
        </w:rPr>
        <w:t xml:space="preserve">                      </w:t>
      </w:r>
      <w:r>
        <w:rPr>
          <w:rFonts w:hint="eastAsia" w:ascii="宋体" w:hAnsi="宋体" w:cs="宋体" w:eastAsiaTheme="minorEastAsia"/>
          <w:color w:val="auto"/>
          <w:szCs w:val="21"/>
          <w:highlight w:val="none"/>
        </w:rPr>
        <w:t>合同编号：</w:t>
      </w:r>
    </w:p>
    <w:p w14:paraId="06A5670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Cs w:val="21"/>
          <w:highlight w:val="none"/>
          <w:u w:val="single"/>
        </w:rPr>
      </w:pPr>
      <w:r>
        <w:rPr>
          <w:rFonts w:hint="eastAsia" w:ascii="宋体" w:hAnsi="宋体" w:cs="宋体"/>
          <w:b/>
          <w:color w:val="auto"/>
          <w:szCs w:val="21"/>
          <w:highlight w:val="none"/>
        </w:rPr>
        <w:t>供应商</w:t>
      </w:r>
      <w:r>
        <w:rPr>
          <w:rFonts w:ascii="宋体" w:hAnsi="宋体" w:cs="宋体"/>
          <w:b/>
          <w:color w:val="auto"/>
          <w:szCs w:val="21"/>
          <w:highlight w:val="none"/>
        </w:rPr>
        <w:t>（</w:t>
      </w:r>
      <w:r>
        <w:rPr>
          <w:rFonts w:hint="eastAsia" w:ascii="宋体" w:hAnsi="宋体" w:cs="宋体"/>
          <w:b/>
          <w:color w:val="auto"/>
          <w:szCs w:val="21"/>
          <w:highlight w:val="none"/>
          <w:lang w:val="zh-CN"/>
        </w:rPr>
        <w:t>以下</w:t>
      </w:r>
      <w:r>
        <w:rPr>
          <w:rFonts w:ascii="宋体" w:hAnsi="宋体" w:cs="宋体"/>
          <w:b/>
          <w:color w:val="auto"/>
          <w:szCs w:val="21"/>
          <w:highlight w:val="none"/>
          <w:lang w:val="zh-CN"/>
        </w:rPr>
        <w:t>称</w:t>
      </w:r>
      <w:r>
        <w:rPr>
          <w:rFonts w:hint="eastAsia" w:ascii="宋体" w:hAnsi="宋体" w:cs="宋体"/>
          <w:b/>
          <w:color w:val="auto"/>
          <w:szCs w:val="21"/>
          <w:highlight w:val="none"/>
        </w:rPr>
        <w:t>乙方</w:t>
      </w:r>
      <w:r>
        <w:rPr>
          <w:rFonts w:ascii="宋体" w:hAnsi="宋体" w:cs="宋体"/>
          <w:b/>
          <w:color w:val="auto"/>
          <w:szCs w:val="21"/>
          <w:highlight w:val="none"/>
        </w:rPr>
        <w:t>）</w:t>
      </w:r>
      <w:r>
        <w:rPr>
          <w:rFonts w:hint="eastAsia" w:ascii="宋体" w:hAnsi="宋体" w:cs="宋体"/>
          <w:b/>
          <w:color w:val="auto"/>
          <w:szCs w:val="21"/>
          <w:highlight w:val="none"/>
        </w:rPr>
        <w:t xml:space="preserve">: </w:t>
      </w:r>
      <w:r>
        <w:rPr>
          <w:rFonts w:ascii="宋体" w:hAnsi="宋体" w:cs="宋体"/>
          <w:b/>
          <w:color w:val="auto"/>
          <w:szCs w:val="21"/>
          <w:highlight w:val="none"/>
        </w:rPr>
        <w:t xml:space="preserve">                      </w:t>
      </w:r>
      <w:r>
        <w:rPr>
          <w:rFonts w:hint="eastAsia" w:ascii="宋体" w:hAnsi="宋体" w:cs="宋体"/>
          <w:color w:val="auto"/>
          <w:szCs w:val="21"/>
          <w:highlight w:val="none"/>
        </w:rPr>
        <w:t>签订地点：</w:t>
      </w:r>
    </w:p>
    <w:p w14:paraId="3657F450">
      <w:pPr>
        <w:keepNext w:val="0"/>
        <w:keepLines w:val="0"/>
        <w:pageBreakBefore w:val="0"/>
        <w:widowControl w:val="0"/>
        <w:kinsoku/>
        <w:wordWrap/>
        <w:overflowPunct/>
        <w:topLinePunct w:val="0"/>
        <w:autoSpaceDE w:val="0"/>
        <w:autoSpaceDN w:val="0"/>
        <w:bidi w:val="0"/>
        <w:adjustRightInd w:val="0"/>
        <w:snapToGrid/>
        <w:spacing w:line="360" w:lineRule="exact"/>
        <w:ind w:firstLine="4620" w:firstLineChars="2200"/>
        <w:textAlignment w:val="auto"/>
        <w:rPr>
          <w:rFonts w:ascii="宋体" w:hAnsi="宋体" w:cs="宋体"/>
          <w:b/>
          <w:color w:val="auto"/>
          <w:szCs w:val="21"/>
          <w:highlight w:val="none"/>
        </w:rPr>
      </w:pPr>
      <w:r>
        <w:rPr>
          <w:rFonts w:hint="eastAsia" w:ascii="宋体" w:cs="宋体"/>
          <w:color w:val="auto"/>
          <w:szCs w:val="21"/>
          <w:highlight w:val="none"/>
        </w:rPr>
        <w:t xml:space="preserve">合同时间: </w:t>
      </w:r>
      <w:r>
        <w:rPr>
          <w:rFonts w:hint="eastAsia" w:ascii="宋体" w:cs="宋体"/>
          <w:color w:val="auto"/>
          <w:szCs w:val="21"/>
          <w:highlight w:val="none"/>
          <w:u w:val="single"/>
        </w:rPr>
        <w:t xml:space="preserve">    年   月   日</w:t>
      </w:r>
    </w:p>
    <w:p w14:paraId="148804F5">
      <w:pPr>
        <w:keepNext w:val="0"/>
        <w:keepLines w:val="0"/>
        <w:pageBreakBefore w:val="0"/>
        <w:widowControl w:val="0"/>
        <w:kinsoku/>
        <w:wordWrap/>
        <w:overflowPunct/>
        <w:topLinePunct w:val="0"/>
        <w:bidi w:val="0"/>
        <w:snapToGrid/>
        <w:spacing w:line="36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甲乙双方依据《中华人民共和国民法典》以及有关法律、法规的规定，经协商一致，订立本合同，以便共同遵守。</w:t>
      </w:r>
    </w:p>
    <w:p w14:paraId="14004D66">
      <w:pPr>
        <w:keepNext w:val="0"/>
        <w:keepLines w:val="0"/>
        <w:pageBreakBefore w:val="0"/>
        <w:widowControl w:val="0"/>
        <w:kinsoku/>
        <w:wordWrap/>
        <w:overflowPunct/>
        <w:topLinePunct w:val="0"/>
        <w:bidi w:val="0"/>
        <w:snapToGrid/>
        <w:spacing w:line="360" w:lineRule="exact"/>
        <w:ind w:firstLine="422" w:firstLineChars="200"/>
        <w:textAlignment w:val="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第一条 合同标的</w:t>
      </w:r>
    </w:p>
    <w:p w14:paraId="044881EA">
      <w:pPr>
        <w:widowControl/>
        <w:adjustRightInd w:val="0"/>
        <w:spacing w:line="360" w:lineRule="exact"/>
        <w:ind w:firstLine="422" w:firstLineChars="201"/>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乙方根据甲方需求提供下列产品：         ，产品名称、规格及数量详见乙方询价响应文件。</w:t>
      </w:r>
    </w:p>
    <w:p w14:paraId="0E0483AB">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第二条 合同价格</w:t>
      </w:r>
    </w:p>
    <w:p w14:paraId="50BBD03D">
      <w:pPr>
        <w:spacing w:line="360" w:lineRule="exact"/>
        <w:ind w:firstLine="422" w:firstLineChars="20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签约合同总价（人民币，下同）：</w:t>
      </w:r>
      <w:r>
        <w:rPr>
          <w:rFonts w:hint="eastAsia" w:cs="宋体" w:asciiTheme="minorEastAsia" w:hAnsiTheme="minorEastAsia" w:eastAsiaTheme="minorEastAsia"/>
          <w:b/>
          <w:color w:val="auto"/>
          <w:szCs w:val="21"/>
          <w:highlight w:val="none"/>
          <w:u w:val="single"/>
        </w:rPr>
        <w:t xml:space="preserve">             元</w:t>
      </w:r>
      <w:r>
        <w:rPr>
          <w:rFonts w:hint="eastAsia" w:cs="宋体" w:asciiTheme="minorEastAsia" w:hAnsiTheme="minorEastAsia" w:eastAsiaTheme="minorEastAsia"/>
          <w:b/>
          <w:color w:val="auto"/>
          <w:szCs w:val="21"/>
          <w:highlight w:val="none"/>
        </w:rPr>
        <w:t xml:space="preserve">（小写       ）。 </w:t>
      </w:r>
    </w:p>
    <w:p w14:paraId="04321365">
      <w:pPr>
        <w:keepNext w:val="0"/>
        <w:keepLines w:val="0"/>
        <w:pageBreakBefore w:val="0"/>
        <w:kinsoku/>
        <w:wordWrap/>
        <w:overflowPunct/>
        <w:topLinePunct w:val="0"/>
        <w:autoSpaceDE/>
        <w:autoSpaceDN/>
        <w:bidi w:val="0"/>
        <w:adjustRightInd/>
        <w:spacing w:line="360" w:lineRule="exact"/>
        <w:ind w:firstLine="420" w:firstLineChars="200"/>
        <w:textAlignment w:val="auto"/>
        <w:rPr>
          <w:rFonts w:hint="eastAsia" w:ascii="宋体" w:eastAsia="宋体" w:cs="Arial"/>
          <w:color w:val="auto"/>
          <w:szCs w:val="21"/>
          <w:highlight w:val="none"/>
          <w:lang w:eastAsia="zh-CN"/>
        </w:rPr>
      </w:pPr>
      <w:r>
        <w:rPr>
          <w:rFonts w:hint="eastAsia" w:ascii="宋体" w:cs="Arial"/>
          <w:color w:val="auto"/>
          <w:szCs w:val="21"/>
          <w:highlight w:val="none"/>
        </w:rPr>
        <w:t>本项目合同总价包括询价通知书所确定的采购范围相应货物的供货、包装、运输、保险、安装调试管理、劳务、培训、办公设备、设备、工具、耗材、运送工具及耗材、利润、风险、税金及政策性文件规定等各项应有费用，以及为完成该项货物或者服务项目所涉及到的一切相关费用。甲方不再支付其他任何费用。</w:t>
      </w:r>
    </w:p>
    <w:p w14:paraId="689CE88D">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本合同总价款还包含乙方应当提供的伴随服务/售后服务费用。</w:t>
      </w:r>
    </w:p>
    <w:p w14:paraId="4C862733">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第三条 组成本合同的有关文件</w:t>
      </w:r>
    </w:p>
    <w:p w14:paraId="0369FBA3">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下列与本次采购活动有关的文件及有关附件是本合同不可分割的组成部分，与本合同具有同等法律效力，这些文件包括但不限于：</w:t>
      </w:r>
    </w:p>
    <w:p w14:paraId="3B3266C2">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（1）询价通知书（编号：   ）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 xml:space="preserve">（2）乙方提供的询价响应文件； </w:t>
      </w:r>
    </w:p>
    <w:p w14:paraId="0D0D2DA4">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 xml:space="preserve">）成交通知书；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）甲乙双方商定的其他文件等。</w:t>
      </w:r>
    </w:p>
    <w:p w14:paraId="04C119CF">
      <w:pPr>
        <w:adjustRightInd w:val="0"/>
        <w:snapToGrid w:val="0"/>
        <w:spacing w:line="36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第四条 合同款结算</w:t>
      </w:r>
      <w:r>
        <w:rPr>
          <w:rFonts w:asciiTheme="minorEastAsia" w:hAnsiTheme="minorEastAsia" w:eastAsiaTheme="minorEastAsia"/>
          <w:b/>
          <w:color w:val="auto"/>
          <w:szCs w:val="21"/>
          <w:highlight w:val="none"/>
        </w:rPr>
        <w:t>及</w:t>
      </w:r>
      <w:r>
        <w:rPr>
          <w:rFonts w:hint="eastAsia" w:asciiTheme="minorEastAsia" w:hAnsiTheme="minorEastAsia" w:eastAsiaTheme="minorEastAsia"/>
          <w:b/>
          <w:color w:val="auto"/>
          <w:szCs w:val="21"/>
          <w:highlight w:val="none"/>
        </w:rPr>
        <w:t>支付</w:t>
      </w:r>
    </w:p>
    <w:p w14:paraId="34979D37">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1.本合同项下所有款项均以人民币支付。</w:t>
      </w:r>
    </w:p>
    <w:p w14:paraId="528E23F6">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2.本合同项下的采购资金由甲方自行支付，乙方向甲方开具发票。</w:t>
      </w:r>
    </w:p>
    <w:p w14:paraId="59AA1787">
      <w:pPr>
        <w:adjustRightInd w:val="0"/>
        <w:snapToGrid w:val="0"/>
        <w:spacing w:line="36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3.结算</w:t>
      </w:r>
      <w:r>
        <w:rPr>
          <w:rFonts w:asciiTheme="minorEastAsia" w:hAnsiTheme="minorEastAsia" w:eastAsiaTheme="minorEastAsia"/>
          <w:color w:val="auto"/>
          <w:szCs w:val="21"/>
          <w:highlight w:val="none"/>
        </w:rPr>
        <w:t>原则：</w:t>
      </w:r>
      <w:r>
        <w:rPr>
          <w:rFonts w:hint="eastAsia" w:asciiTheme="minorEastAsia" w:hAnsiTheme="minorEastAsia" w:eastAsiaTheme="minorEastAsia"/>
          <w:color w:val="auto"/>
          <w:szCs w:val="21"/>
          <w:highlight w:val="none"/>
          <w:lang w:eastAsia="zh-CN"/>
        </w:rPr>
        <w:t>固定总价。</w:t>
      </w:r>
    </w:p>
    <w:p w14:paraId="49800657">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.付款方式：</w:t>
      </w:r>
      <w:r>
        <w:rPr>
          <w:rFonts w:hint="eastAsia" w:asciiTheme="minorEastAsia" w:hAnsiTheme="minorEastAsia" w:eastAsiaTheme="minorEastAsia" w:cstheme="minorEastAsia"/>
          <w:bCs/>
          <w:color w:val="auto"/>
          <w:sz w:val="21"/>
          <w:szCs w:val="21"/>
          <w:highlight w:val="none"/>
        </w:rPr>
        <w:t>项目验收合格后，根据审定价一次性支付所有项目款。</w:t>
      </w:r>
    </w:p>
    <w:p w14:paraId="3CA77018">
      <w:pPr>
        <w:adjustRightInd w:val="0"/>
        <w:snapToGrid w:val="0"/>
        <w:spacing w:line="36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w:t>
      </w:r>
      <w:r>
        <w:rPr>
          <w:rFonts w:hint="eastAsia" w:asciiTheme="minorEastAsia" w:hAnsiTheme="minorEastAsia" w:eastAsiaTheme="minorEastAsia"/>
          <w:b/>
          <w:color w:val="auto"/>
          <w:szCs w:val="21"/>
          <w:highlight w:val="none"/>
          <w:lang w:eastAsia="zh-CN"/>
        </w:rPr>
        <w:t>五</w:t>
      </w:r>
      <w:r>
        <w:rPr>
          <w:rFonts w:hint="eastAsia" w:asciiTheme="minorEastAsia" w:hAnsiTheme="minorEastAsia" w:eastAsiaTheme="minorEastAsia"/>
          <w:b/>
          <w:color w:val="auto"/>
          <w:szCs w:val="21"/>
          <w:highlight w:val="none"/>
        </w:rPr>
        <w:t>条 违约责任</w:t>
      </w:r>
    </w:p>
    <w:p w14:paraId="713DE86D">
      <w:pPr>
        <w:spacing w:line="360" w:lineRule="exact"/>
        <w:ind w:firstLine="420" w:firstLineChars="200"/>
        <w:rPr>
          <w:color w:val="auto"/>
          <w:highlight w:val="none"/>
        </w:rPr>
      </w:pPr>
      <w:r>
        <w:rPr>
          <w:color w:val="auto"/>
          <w:highlight w:val="none"/>
        </w:rPr>
        <w:t>1.</w:t>
      </w:r>
      <w:r>
        <w:rPr>
          <w:rFonts w:hint="eastAsia"/>
          <w:color w:val="auto"/>
          <w:highlight w:val="none"/>
        </w:rPr>
        <w:t>如乙方不能</w:t>
      </w:r>
      <w:r>
        <w:rPr>
          <w:color w:val="auto"/>
          <w:highlight w:val="none"/>
        </w:rPr>
        <w:t>按时</w:t>
      </w:r>
      <w:r>
        <w:rPr>
          <w:rFonts w:hint="eastAsia"/>
          <w:color w:val="auto"/>
          <w:highlight w:val="none"/>
        </w:rPr>
        <w:t>交付货物完成安装调试的，每逾期</w:t>
      </w:r>
      <w:r>
        <w:rPr>
          <w:color w:val="auto"/>
          <w:highlight w:val="none"/>
        </w:rPr>
        <w:t>1</w:t>
      </w:r>
      <w:r>
        <w:rPr>
          <w:rFonts w:hint="eastAsia"/>
          <w:color w:val="auto"/>
          <w:highlight w:val="none"/>
        </w:rPr>
        <w:t>天，乙方向甲方偿付合同总额</w:t>
      </w:r>
      <w:r>
        <w:rPr>
          <w:color w:val="auto"/>
          <w:highlight w:val="none"/>
        </w:rPr>
        <w:t>5</w:t>
      </w:r>
      <w:r>
        <w:rPr>
          <w:rFonts w:hint="eastAsia"/>
          <w:color w:val="auto"/>
          <w:highlight w:val="none"/>
        </w:rPr>
        <w:t>‰的违约金</w:t>
      </w:r>
      <w:r>
        <w:rPr>
          <w:color w:val="auto"/>
          <w:highlight w:val="none"/>
        </w:rPr>
        <w:t>；</w:t>
      </w:r>
      <w:r>
        <w:rPr>
          <w:rFonts w:hint="eastAsia"/>
          <w:color w:val="auto"/>
          <w:highlight w:val="none"/>
        </w:rPr>
        <w:t>乙方</w:t>
      </w:r>
      <w:r>
        <w:rPr>
          <w:color w:val="auto"/>
          <w:highlight w:val="none"/>
        </w:rPr>
        <w:t>逾期交付货物或完成安装调试超过10</w:t>
      </w:r>
      <w:r>
        <w:rPr>
          <w:rFonts w:hint="eastAsia"/>
          <w:color w:val="auto"/>
          <w:highlight w:val="none"/>
        </w:rPr>
        <w:t>天</w:t>
      </w:r>
      <w:r>
        <w:rPr>
          <w:color w:val="auto"/>
          <w:highlight w:val="none"/>
        </w:rPr>
        <w:t>（</w:t>
      </w:r>
      <w:r>
        <w:rPr>
          <w:rFonts w:hint="eastAsia"/>
          <w:color w:val="auto"/>
          <w:highlight w:val="none"/>
        </w:rPr>
        <w:t>含</w:t>
      </w:r>
      <w:r>
        <w:rPr>
          <w:color w:val="auto"/>
          <w:highlight w:val="none"/>
        </w:rPr>
        <w:t>10</w:t>
      </w:r>
      <w:r>
        <w:rPr>
          <w:rFonts w:hint="eastAsia"/>
          <w:color w:val="auto"/>
          <w:highlight w:val="none"/>
        </w:rPr>
        <w:t>天</w:t>
      </w:r>
      <w:r>
        <w:rPr>
          <w:color w:val="auto"/>
          <w:highlight w:val="none"/>
        </w:rPr>
        <w:t>），</w:t>
      </w:r>
      <w:r>
        <w:rPr>
          <w:rFonts w:hint="eastAsia"/>
          <w:color w:val="auto"/>
          <w:highlight w:val="none"/>
        </w:rPr>
        <w:t>甲方有权解除合同，</w:t>
      </w:r>
      <w:r>
        <w:rPr>
          <w:color w:val="auto"/>
          <w:highlight w:val="none"/>
        </w:rPr>
        <w:t>同时有权要求乙方按照</w:t>
      </w:r>
      <w:r>
        <w:rPr>
          <w:rFonts w:hint="eastAsia"/>
          <w:color w:val="auto"/>
          <w:highlight w:val="none"/>
        </w:rPr>
        <w:t>合同总价</w:t>
      </w:r>
      <w:r>
        <w:rPr>
          <w:color w:val="auto"/>
          <w:highlight w:val="none"/>
        </w:rPr>
        <w:t>5%</w:t>
      </w:r>
      <w:r>
        <w:rPr>
          <w:rFonts w:hint="eastAsia"/>
          <w:color w:val="auto"/>
          <w:highlight w:val="none"/>
        </w:rPr>
        <w:t>的</w:t>
      </w:r>
      <w:r>
        <w:rPr>
          <w:color w:val="auto"/>
          <w:highlight w:val="none"/>
        </w:rPr>
        <w:t>标准支付</w:t>
      </w:r>
      <w:r>
        <w:rPr>
          <w:rFonts w:hint="eastAsia"/>
          <w:color w:val="auto"/>
          <w:highlight w:val="none"/>
        </w:rPr>
        <w:t>违约金</w:t>
      </w:r>
      <w:r>
        <w:rPr>
          <w:color w:val="auto"/>
          <w:highlight w:val="none"/>
        </w:rPr>
        <w:t>，</w:t>
      </w:r>
      <w:r>
        <w:rPr>
          <w:rFonts w:hint="eastAsia"/>
          <w:color w:val="auto"/>
          <w:highlight w:val="none"/>
        </w:rPr>
        <w:t>解除合同的通知自</w:t>
      </w:r>
      <w:r>
        <w:rPr>
          <w:color w:val="auto"/>
          <w:highlight w:val="none"/>
        </w:rPr>
        <w:t>发出之日</w:t>
      </w:r>
      <w:r>
        <w:rPr>
          <w:rFonts w:hint="eastAsia"/>
          <w:color w:val="auto"/>
          <w:highlight w:val="none"/>
        </w:rPr>
        <w:t>生效。</w:t>
      </w:r>
    </w:p>
    <w:p w14:paraId="21B04F5C">
      <w:pPr>
        <w:spacing w:line="360" w:lineRule="exact"/>
        <w:ind w:firstLine="420" w:firstLineChars="200"/>
        <w:rPr>
          <w:color w:val="auto"/>
          <w:highlight w:val="none"/>
        </w:rPr>
      </w:pPr>
      <w:r>
        <w:rPr>
          <w:color w:val="auto"/>
          <w:highlight w:val="none"/>
        </w:rPr>
        <w:t>2.</w:t>
      </w:r>
      <w:r>
        <w:rPr>
          <w:rFonts w:hint="eastAsia"/>
          <w:color w:val="auto"/>
          <w:highlight w:val="none"/>
        </w:rPr>
        <w:t>甲方未按合同规定的期限向乙方支付货款的，每逾期</w:t>
      </w:r>
      <w:r>
        <w:rPr>
          <w:color w:val="auto"/>
          <w:highlight w:val="none"/>
        </w:rPr>
        <w:t>1</w:t>
      </w:r>
      <w:r>
        <w:rPr>
          <w:rFonts w:hint="eastAsia"/>
          <w:color w:val="auto"/>
          <w:highlight w:val="none"/>
        </w:rPr>
        <w:t>天甲方向乙方偿付欠款总额的</w:t>
      </w:r>
      <w:r>
        <w:rPr>
          <w:color w:val="auto"/>
          <w:highlight w:val="none"/>
        </w:rPr>
        <w:t>5</w:t>
      </w:r>
      <w:r>
        <w:rPr>
          <w:rFonts w:hint="eastAsia"/>
          <w:color w:val="auto"/>
          <w:highlight w:val="none"/>
        </w:rPr>
        <w:t>‰滞纳金，但累计滞纳金总额不超过欠款总额的</w:t>
      </w:r>
      <w:r>
        <w:rPr>
          <w:color w:val="auto"/>
          <w:highlight w:val="none"/>
        </w:rPr>
        <w:t xml:space="preserve">5% </w:t>
      </w:r>
      <w:r>
        <w:rPr>
          <w:rFonts w:hint="eastAsia"/>
          <w:color w:val="auto"/>
          <w:highlight w:val="none"/>
        </w:rPr>
        <w:t>。</w:t>
      </w:r>
    </w:p>
    <w:p w14:paraId="79E343C3">
      <w:pPr>
        <w:spacing w:line="360" w:lineRule="exact"/>
        <w:ind w:firstLine="420" w:firstLineChars="200"/>
        <w:rPr>
          <w:color w:val="auto"/>
          <w:highlight w:val="none"/>
        </w:rPr>
      </w:pPr>
      <w:r>
        <w:rPr>
          <w:color w:val="auto"/>
          <w:highlight w:val="none"/>
        </w:rPr>
        <w:t>3.</w:t>
      </w:r>
      <w:r>
        <w:rPr>
          <w:rFonts w:hint="eastAsia"/>
          <w:color w:val="auto"/>
          <w:highlight w:val="none"/>
        </w:rPr>
        <w:t>乙方所交付的货物品种、型号、规格不符合合同规定的，甲方有权拒收</w:t>
      </w:r>
      <w:r>
        <w:rPr>
          <w:color w:val="auto"/>
          <w:highlight w:val="none"/>
        </w:rPr>
        <w:t>，</w:t>
      </w:r>
      <w:r>
        <w:rPr>
          <w:rFonts w:hint="eastAsia"/>
          <w:color w:val="auto"/>
          <w:highlight w:val="none"/>
        </w:rPr>
        <w:t>同时</w:t>
      </w:r>
      <w:r>
        <w:rPr>
          <w:color w:val="auto"/>
          <w:highlight w:val="none"/>
        </w:rPr>
        <w:t>有权解除合同，</w:t>
      </w:r>
      <w:r>
        <w:rPr>
          <w:rFonts w:hint="eastAsia"/>
          <w:color w:val="auto"/>
          <w:highlight w:val="none"/>
        </w:rPr>
        <w:t>解除合同的通知自</w:t>
      </w:r>
      <w:r>
        <w:rPr>
          <w:color w:val="auto"/>
          <w:highlight w:val="none"/>
        </w:rPr>
        <w:t>发出之日</w:t>
      </w:r>
      <w:r>
        <w:rPr>
          <w:rFonts w:hint="eastAsia"/>
          <w:color w:val="auto"/>
          <w:highlight w:val="none"/>
        </w:rPr>
        <w:t>生效</w:t>
      </w:r>
      <w:r>
        <w:rPr>
          <w:color w:val="auto"/>
          <w:highlight w:val="none"/>
        </w:rPr>
        <w:t>。</w:t>
      </w:r>
    </w:p>
    <w:p w14:paraId="0131AED7">
      <w:pPr>
        <w:spacing w:line="360" w:lineRule="exact"/>
        <w:ind w:firstLine="420" w:firstLineChars="200"/>
        <w:rPr>
          <w:color w:val="auto"/>
          <w:highlight w:val="none"/>
        </w:rPr>
      </w:pPr>
      <w:r>
        <w:rPr>
          <w:color w:val="auto"/>
          <w:highlight w:val="none"/>
        </w:rPr>
        <w:t>4.</w:t>
      </w:r>
      <w:r>
        <w:rPr>
          <w:rFonts w:hint="eastAsia"/>
          <w:color w:val="auto"/>
          <w:highlight w:val="none"/>
        </w:rPr>
        <w:t>在乙方承诺的或国家规定的质量保证期内（取两者中最长的期限），如经乙方两次维修或更换，货物仍不能达到合同约定的质量标准、运行效果的，甲方有权</w:t>
      </w:r>
      <w:r>
        <w:rPr>
          <w:color w:val="auto"/>
          <w:highlight w:val="none"/>
        </w:rPr>
        <w:t>要求</w:t>
      </w:r>
      <w:r>
        <w:rPr>
          <w:rFonts w:hint="eastAsia"/>
          <w:color w:val="auto"/>
          <w:highlight w:val="none"/>
        </w:rPr>
        <w:t>退货，乙方应退回全部货款，</w:t>
      </w:r>
      <w:r>
        <w:rPr>
          <w:color w:val="auto"/>
          <w:highlight w:val="none"/>
        </w:rPr>
        <w:t>同时甲方有权按照本条第1</w:t>
      </w:r>
      <w:r>
        <w:rPr>
          <w:rFonts w:hint="eastAsia"/>
          <w:color w:val="auto"/>
          <w:highlight w:val="none"/>
        </w:rPr>
        <w:t>点向</w:t>
      </w:r>
      <w:r>
        <w:rPr>
          <w:color w:val="auto"/>
          <w:highlight w:val="none"/>
        </w:rPr>
        <w:t>乙方主张违约金</w:t>
      </w:r>
      <w:r>
        <w:rPr>
          <w:rFonts w:hint="eastAsia"/>
          <w:color w:val="auto"/>
          <w:highlight w:val="none"/>
        </w:rPr>
        <w:t>，</w:t>
      </w:r>
      <w:r>
        <w:rPr>
          <w:color w:val="auto"/>
          <w:highlight w:val="none"/>
        </w:rPr>
        <w:t>若仍不足以弥补甲方损失，</w:t>
      </w:r>
      <w:r>
        <w:rPr>
          <w:rFonts w:hint="eastAsia"/>
          <w:color w:val="auto"/>
          <w:highlight w:val="none"/>
        </w:rPr>
        <w:t>则乙方还须赔偿甲方因此遭受的</w:t>
      </w:r>
      <w:r>
        <w:rPr>
          <w:color w:val="auto"/>
          <w:highlight w:val="none"/>
        </w:rPr>
        <w:t>所有</w:t>
      </w:r>
      <w:r>
        <w:rPr>
          <w:rFonts w:hint="eastAsia"/>
          <w:color w:val="auto"/>
          <w:highlight w:val="none"/>
        </w:rPr>
        <w:t>损失。</w:t>
      </w:r>
    </w:p>
    <w:p w14:paraId="3CC3DF47">
      <w:pPr>
        <w:spacing w:line="360" w:lineRule="exact"/>
        <w:ind w:firstLine="420" w:firstLineChars="200"/>
        <w:rPr>
          <w:color w:val="auto"/>
          <w:highlight w:val="none"/>
        </w:rPr>
      </w:pPr>
      <w:r>
        <w:rPr>
          <w:rFonts w:hint="eastAsia"/>
          <w:color w:val="auto"/>
          <w:highlight w:val="none"/>
          <w:lang w:val="en-US" w:eastAsia="zh-CN"/>
        </w:rPr>
        <w:t>5</w:t>
      </w:r>
      <w:r>
        <w:rPr>
          <w:color w:val="auto"/>
          <w:highlight w:val="none"/>
        </w:rPr>
        <w:t>.</w:t>
      </w:r>
      <w:r>
        <w:rPr>
          <w:rFonts w:hint="eastAsia"/>
          <w:color w:val="auto"/>
          <w:highlight w:val="none"/>
        </w:rPr>
        <w:t>乙方未按本合同的规定和“服务承诺”提供伴随服务</w:t>
      </w:r>
      <w:r>
        <w:rPr>
          <w:color w:val="auto"/>
          <w:highlight w:val="none"/>
        </w:rPr>
        <w:t>/</w:t>
      </w:r>
      <w:r>
        <w:rPr>
          <w:rFonts w:hint="eastAsia"/>
          <w:color w:val="auto"/>
          <w:highlight w:val="none"/>
        </w:rPr>
        <w:t>售后服务的，</w:t>
      </w:r>
      <w:r>
        <w:rPr>
          <w:color w:val="auto"/>
          <w:highlight w:val="none"/>
        </w:rPr>
        <w:t>甲方有权提前解除本合同，</w:t>
      </w:r>
      <w:r>
        <w:rPr>
          <w:rFonts w:hint="eastAsia"/>
          <w:color w:val="auto"/>
          <w:highlight w:val="none"/>
        </w:rPr>
        <w:t>同时</w:t>
      </w:r>
      <w:r>
        <w:rPr>
          <w:color w:val="auto"/>
          <w:highlight w:val="none"/>
        </w:rPr>
        <w:t>乙方</w:t>
      </w:r>
      <w:r>
        <w:rPr>
          <w:rFonts w:hint="eastAsia"/>
          <w:color w:val="auto"/>
          <w:highlight w:val="none"/>
        </w:rPr>
        <w:t>应按合同总价款的</w:t>
      </w:r>
      <w:r>
        <w:rPr>
          <w:color w:val="auto"/>
          <w:highlight w:val="none"/>
        </w:rPr>
        <w:t>5 %</w:t>
      </w:r>
      <w:r>
        <w:rPr>
          <w:rFonts w:hint="eastAsia"/>
          <w:color w:val="auto"/>
          <w:highlight w:val="none"/>
        </w:rPr>
        <w:t>向甲方承担违约责任。</w:t>
      </w:r>
    </w:p>
    <w:p w14:paraId="1A53D7E8">
      <w:pPr>
        <w:spacing w:line="360" w:lineRule="exact"/>
        <w:ind w:firstLine="420" w:firstLineChars="200"/>
        <w:rPr>
          <w:color w:val="auto"/>
          <w:highlight w:val="none"/>
        </w:rPr>
      </w:pPr>
      <w:r>
        <w:rPr>
          <w:rFonts w:hint="eastAsia"/>
          <w:color w:val="auto"/>
          <w:highlight w:val="none"/>
          <w:lang w:val="en-US" w:eastAsia="zh-CN"/>
        </w:rPr>
        <w:t>6</w:t>
      </w:r>
      <w:r>
        <w:rPr>
          <w:color w:val="auto"/>
          <w:highlight w:val="none"/>
        </w:rPr>
        <w:t>.</w:t>
      </w:r>
      <w:r>
        <w:rPr>
          <w:rFonts w:hint="eastAsia"/>
          <w:color w:val="auto"/>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64B95B08">
      <w:pPr>
        <w:spacing w:line="360" w:lineRule="exact"/>
        <w:ind w:firstLine="420" w:firstLineChars="200"/>
        <w:rPr>
          <w:color w:val="auto"/>
          <w:highlight w:val="none"/>
        </w:rPr>
      </w:pPr>
      <w:r>
        <w:rPr>
          <w:rFonts w:hint="eastAsia"/>
          <w:color w:val="auto"/>
          <w:highlight w:val="none"/>
          <w:lang w:val="en-US" w:eastAsia="zh-CN"/>
        </w:rPr>
        <w:t>7</w:t>
      </w:r>
      <w:r>
        <w:rPr>
          <w:color w:val="auto"/>
          <w:highlight w:val="none"/>
        </w:rPr>
        <w:t>.</w:t>
      </w:r>
      <w:r>
        <w:rPr>
          <w:rFonts w:hint="eastAsia"/>
          <w:color w:val="auto"/>
          <w:highlight w:val="none"/>
        </w:rPr>
        <w:t>乙方投标属虚假承诺，或经权威部门监测提供的货物不能满足询价通知书要求，或是由于乙方的过错造成合同无法继续履行的，乙方应向甲方支付不少于合同总价</w:t>
      </w:r>
      <w:r>
        <w:rPr>
          <w:color w:val="auto"/>
          <w:highlight w:val="none"/>
        </w:rPr>
        <w:t>30%违约</w:t>
      </w:r>
      <w:r>
        <w:rPr>
          <w:rFonts w:hint="eastAsia"/>
          <w:color w:val="auto"/>
          <w:highlight w:val="none"/>
        </w:rPr>
        <w:t>金</w:t>
      </w:r>
      <w:r>
        <w:rPr>
          <w:color w:val="auto"/>
          <w:highlight w:val="none"/>
        </w:rPr>
        <w:t>，</w:t>
      </w:r>
      <w:r>
        <w:rPr>
          <w:rFonts w:hint="eastAsia"/>
          <w:color w:val="auto"/>
          <w:highlight w:val="none"/>
        </w:rPr>
        <w:t>若</w:t>
      </w:r>
      <w:r>
        <w:rPr>
          <w:color w:val="auto"/>
          <w:highlight w:val="none"/>
        </w:rPr>
        <w:t>该违约金</w:t>
      </w:r>
      <w:r>
        <w:rPr>
          <w:rFonts w:hint="eastAsia"/>
          <w:color w:val="auto"/>
          <w:highlight w:val="none"/>
        </w:rPr>
        <w:t>不足以</w:t>
      </w:r>
      <w:r>
        <w:rPr>
          <w:color w:val="auto"/>
          <w:highlight w:val="none"/>
        </w:rPr>
        <w:t>弥补甲方损失，</w:t>
      </w:r>
      <w:r>
        <w:rPr>
          <w:rFonts w:hint="eastAsia"/>
          <w:color w:val="auto"/>
          <w:highlight w:val="none"/>
        </w:rPr>
        <w:t>则应当</w:t>
      </w:r>
      <w:r>
        <w:rPr>
          <w:color w:val="auto"/>
          <w:highlight w:val="none"/>
        </w:rPr>
        <w:t>赔偿甲方所有损失</w:t>
      </w:r>
      <w:r>
        <w:rPr>
          <w:rFonts w:hint="eastAsia"/>
          <w:color w:val="auto"/>
          <w:highlight w:val="none"/>
        </w:rPr>
        <w:t>。</w:t>
      </w:r>
    </w:p>
    <w:p w14:paraId="73ED0435">
      <w:pPr>
        <w:spacing w:line="360" w:lineRule="exact"/>
        <w:ind w:firstLine="420" w:firstLineChars="200"/>
        <w:rPr>
          <w:color w:val="auto"/>
          <w:highlight w:val="none"/>
        </w:rPr>
      </w:pPr>
      <w:r>
        <w:rPr>
          <w:rFonts w:hint="eastAsia"/>
          <w:color w:val="auto"/>
          <w:highlight w:val="none"/>
          <w:lang w:val="en-US" w:eastAsia="zh-CN"/>
        </w:rPr>
        <w:t>8</w:t>
      </w:r>
      <w:r>
        <w:rPr>
          <w:color w:val="auto"/>
          <w:highlight w:val="none"/>
        </w:rPr>
        <w:t>.</w:t>
      </w:r>
      <w:r>
        <w:rPr>
          <w:rFonts w:hint="eastAsia"/>
          <w:color w:val="auto"/>
          <w:highlight w:val="none"/>
        </w:rPr>
        <w:t>其他未尽事宜，以《民法典》等有关法律法规规定为准，无相关规定的，双方协商解决。</w:t>
      </w:r>
    </w:p>
    <w:p w14:paraId="4B3C6BCA">
      <w:pPr>
        <w:adjustRightInd w:val="0"/>
        <w:snapToGrid w:val="0"/>
        <w:spacing w:line="36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w:t>
      </w:r>
      <w:r>
        <w:rPr>
          <w:rFonts w:hint="eastAsia" w:asciiTheme="minorEastAsia" w:hAnsiTheme="minorEastAsia" w:eastAsiaTheme="minorEastAsia"/>
          <w:b/>
          <w:color w:val="auto"/>
          <w:szCs w:val="21"/>
          <w:highlight w:val="none"/>
          <w:lang w:eastAsia="zh-CN"/>
        </w:rPr>
        <w:t>六</w:t>
      </w:r>
      <w:r>
        <w:rPr>
          <w:rFonts w:hint="eastAsia" w:asciiTheme="minorEastAsia" w:hAnsiTheme="minorEastAsia" w:eastAsiaTheme="minorEastAsia"/>
          <w:b/>
          <w:color w:val="auto"/>
          <w:szCs w:val="21"/>
          <w:highlight w:val="none"/>
        </w:rPr>
        <w:t>条 合同的变更和终止</w:t>
      </w:r>
    </w:p>
    <w:p w14:paraId="08F16E26">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1.本合同一经签订，甲乙双方不得擅自变更、中止或终止合同。</w:t>
      </w:r>
    </w:p>
    <w:p w14:paraId="693E2EA7">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2.除发生法律规定的不能预见、不能避免并不能克服的客观情况外，甲乙双方不得放弃或拒绝履行合同。</w:t>
      </w:r>
    </w:p>
    <w:p w14:paraId="35A51867">
      <w:pPr>
        <w:adjustRightInd w:val="0"/>
        <w:snapToGrid w:val="0"/>
        <w:spacing w:line="36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w:t>
      </w:r>
      <w:r>
        <w:rPr>
          <w:rFonts w:hint="eastAsia" w:asciiTheme="minorEastAsia" w:hAnsiTheme="minorEastAsia" w:eastAsiaTheme="minorEastAsia"/>
          <w:b/>
          <w:color w:val="auto"/>
          <w:szCs w:val="21"/>
          <w:highlight w:val="none"/>
          <w:lang w:eastAsia="zh-CN"/>
        </w:rPr>
        <w:t>七</w:t>
      </w:r>
      <w:r>
        <w:rPr>
          <w:rFonts w:hint="eastAsia" w:asciiTheme="minorEastAsia" w:hAnsiTheme="minorEastAsia" w:eastAsiaTheme="minorEastAsia"/>
          <w:b/>
          <w:color w:val="auto"/>
          <w:szCs w:val="21"/>
          <w:highlight w:val="none"/>
        </w:rPr>
        <w:t>条 合同的转让</w:t>
      </w:r>
    </w:p>
    <w:p w14:paraId="490A1675">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乙方不得擅自部分或全部转让其应履行的合同义务。</w:t>
      </w:r>
    </w:p>
    <w:p w14:paraId="4CA09DAC">
      <w:pPr>
        <w:adjustRightInd w:val="0"/>
        <w:snapToGrid w:val="0"/>
        <w:spacing w:line="36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w:t>
      </w:r>
      <w:r>
        <w:rPr>
          <w:rFonts w:hint="eastAsia" w:asciiTheme="minorEastAsia" w:hAnsiTheme="minorEastAsia" w:eastAsiaTheme="minorEastAsia"/>
          <w:b/>
          <w:color w:val="auto"/>
          <w:szCs w:val="21"/>
          <w:highlight w:val="none"/>
          <w:lang w:eastAsia="zh-CN"/>
        </w:rPr>
        <w:t>八</w:t>
      </w:r>
      <w:r>
        <w:rPr>
          <w:rFonts w:hint="eastAsia" w:asciiTheme="minorEastAsia" w:hAnsiTheme="minorEastAsia" w:eastAsiaTheme="minorEastAsia"/>
          <w:b/>
          <w:color w:val="auto"/>
          <w:szCs w:val="21"/>
          <w:highlight w:val="none"/>
        </w:rPr>
        <w:t>条 不可抗力</w:t>
      </w:r>
    </w:p>
    <w:p w14:paraId="7B221D67">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甲、乙方中任何一方，因不可抗力不能按时或完全履行合同的，应及时通知对方，并在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个</w:t>
      </w:r>
      <w:r>
        <w:rPr>
          <w:rFonts w:hint="eastAsia" w:asciiTheme="minorEastAsia" w:hAnsiTheme="minorEastAsia" w:eastAsiaTheme="minorEastAsia"/>
          <w:color w:val="auto"/>
          <w:szCs w:val="21"/>
          <w:highlight w:val="none"/>
        </w:rPr>
        <w:t>工作日内提供相应证明。未履行完合同部分是否继续履行、如何履行等问题，可由双方初步协商，并向主管部门报告。确定为不可抗力原因造成的损失，免予承担责任。</w:t>
      </w:r>
    </w:p>
    <w:p w14:paraId="3AFAF137">
      <w:pPr>
        <w:adjustRightInd w:val="0"/>
        <w:snapToGrid w:val="0"/>
        <w:spacing w:line="360" w:lineRule="exact"/>
        <w:ind w:firstLine="424" w:firstLineChars="20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w:t>
      </w:r>
      <w:r>
        <w:rPr>
          <w:rFonts w:hint="eastAsia" w:asciiTheme="minorEastAsia" w:hAnsiTheme="minorEastAsia" w:eastAsiaTheme="minorEastAsia"/>
          <w:b/>
          <w:color w:val="auto"/>
          <w:szCs w:val="21"/>
          <w:highlight w:val="none"/>
          <w:lang w:eastAsia="zh-CN"/>
        </w:rPr>
        <w:t>九</w:t>
      </w:r>
      <w:r>
        <w:rPr>
          <w:rFonts w:hint="eastAsia" w:asciiTheme="minorEastAsia" w:hAnsiTheme="minorEastAsia" w:eastAsiaTheme="minorEastAsia"/>
          <w:b/>
          <w:color w:val="auto"/>
          <w:szCs w:val="21"/>
          <w:highlight w:val="none"/>
        </w:rPr>
        <w:t xml:space="preserve">条 </w:t>
      </w:r>
      <w:r>
        <w:rPr>
          <w:rFonts w:asciiTheme="minorEastAsia" w:hAnsiTheme="minorEastAsia" w:eastAsiaTheme="minorEastAsia"/>
          <w:b/>
          <w:color w:val="auto"/>
          <w:szCs w:val="21"/>
          <w:highlight w:val="none"/>
        </w:rPr>
        <w:t>质量问题或缺陷的</w:t>
      </w:r>
      <w:r>
        <w:rPr>
          <w:rFonts w:hint="eastAsia" w:asciiTheme="minorEastAsia" w:hAnsiTheme="minorEastAsia" w:eastAsiaTheme="minorEastAsia"/>
          <w:b/>
          <w:color w:val="auto"/>
          <w:szCs w:val="21"/>
          <w:highlight w:val="none"/>
        </w:rPr>
        <w:t>索赔</w:t>
      </w:r>
    </w:p>
    <w:p w14:paraId="11084BFE">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w:t>
      </w:r>
      <w:r>
        <w:rPr>
          <w:rFonts w:hint="eastAsia" w:asciiTheme="minorEastAsia" w:hAnsiTheme="minorEastAsia" w:eastAsiaTheme="minorEastAsia"/>
          <w:color w:val="auto"/>
          <w:szCs w:val="21"/>
          <w:highlight w:val="none"/>
        </w:rPr>
        <w:t>交付</w:t>
      </w:r>
      <w:r>
        <w:rPr>
          <w:rFonts w:asciiTheme="minorEastAsia" w:hAnsiTheme="minorEastAsia" w:eastAsiaTheme="minorEastAsia"/>
          <w:color w:val="auto"/>
          <w:szCs w:val="21"/>
          <w:highlight w:val="none"/>
        </w:rPr>
        <w:t>货物后，甲方发现</w:t>
      </w:r>
      <w:r>
        <w:rPr>
          <w:rFonts w:hint="eastAsia" w:asciiTheme="minorEastAsia" w:hAnsiTheme="minorEastAsia" w:eastAsiaTheme="minorEastAsia"/>
          <w:color w:val="auto"/>
          <w:szCs w:val="21"/>
          <w:highlight w:val="none"/>
        </w:rPr>
        <w:t>货物</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质量</w:t>
      </w:r>
      <w:r>
        <w:rPr>
          <w:rFonts w:asciiTheme="minorEastAsia" w:hAnsiTheme="minorEastAsia" w:eastAsiaTheme="minorEastAsia"/>
          <w:color w:val="auto"/>
          <w:szCs w:val="21"/>
          <w:highlight w:val="none"/>
        </w:rPr>
        <w:t>与合同内容不符或证实</w:t>
      </w:r>
      <w:r>
        <w:rPr>
          <w:rFonts w:hint="eastAsia" w:asciiTheme="minorEastAsia" w:hAnsiTheme="minorEastAsia" w:eastAsiaTheme="minorEastAsia"/>
          <w:color w:val="auto"/>
          <w:szCs w:val="21"/>
          <w:highlight w:val="none"/>
        </w:rPr>
        <w:t>货物存在</w:t>
      </w:r>
      <w:r>
        <w:rPr>
          <w:rFonts w:asciiTheme="minorEastAsia" w:hAnsiTheme="minorEastAsia" w:eastAsiaTheme="minorEastAsia"/>
          <w:color w:val="auto"/>
          <w:szCs w:val="21"/>
          <w:highlight w:val="none"/>
        </w:rPr>
        <w:t>缺陷的</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包括潜在缺陷</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，乙方应在收到甲方索赔通知后3</w:t>
      </w:r>
      <w:r>
        <w:rPr>
          <w:rFonts w:hint="eastAsia" w:asciiTheme="minorEastAsia" w:hAnsiTheme="minorEastAsia" w:eastAsiaTheme="minorEastAsia"/>
          <w:color w:val="auto"/>
          <w:szCs w:val="21"/>
          <w:highlight w:val="none"/>
        </w:rPr>
        <w:t>日</w:t>
      </w:r>
      <w:r>
        <w:rPr>
          <w:rFonts w:asciiTheme="minorEastAsia" w:hAnsiTheme="minorEastAsia" w:eastAsiaTheme="minorEastAsia"/>
          <w:color w:val="auto"/>
          <w:szCs w:val="21"/>
          <w:highlight w:val="none"/>
        </w:rPr>
        <w:t>内到甲方</w:t>
      </w:r>
      <w:r>
        <w:rPr>
          <w:rFonts w:hint="eastAsia" w:asciiTheme="minorEastAsia" w:hAnsiTheme="minorEastAsia" w:eastAsiaTheme="minorEastAsia"/>
          <w:color w:val="auto"/>
          <w:szCs w:val="21"/>
          <w:highlight w:val="none"/>
        </w:rPr>
        <w:t>处</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商量</w:t>
      </w:r>
      <w:r>
        <w:rPr>
          <w:rFonts w:asciiTheme="minorEastAsia" w:hAnsiTheme="minorEastAsia" w:eastAsiaTheme="minorEastAsia"/>
          <w:color w:val="auto"/>
          <w:szCs w:val="21"/>
          <w:highlight w:val="none"/>
        </w:rPr>
        <w:t>解决货物</w:t>
      </w:r>
      <w:r>
        <w:rPr>
          <w:rFonts w:hint="eastAsia" w:asciiTheme="minorEastAsia" w:hAnsiTheme="minorEastAsia" w:eastAsiaTheme="minorEastAsia"/>
          <w:color w:val="auto"/>
          <w:szCs w:val="21"/>
          <w:highlight w:val="none"/>
        </w:rPr>
        <w:t>质量</w:t>
      </w:r>
      <w:r>
        <w:rPr>
          <w:rFonts w:asciiTheme="minorEastAsia" w:hAnsiTheme="minorEastAsia" w:eastAsiaTheme="minorEastAsia"/>
          <w:color w:val="auto"/>
          <w:szCs w:val="21"/>
          <w:highlight w:val="none"/>
        </w:rPr>
        <w:t>或缺陷问题。若乙方未</w:t>
      </w:r>
      <w:r>
        <w:rPr>
          <w:rFonts w:hint="eastAsia" w:asciiTheme="minorEastAsia" w:hAnsiTheme="minorEastAsia" w:eastAsiaTheme="minorEastAsia"/>
          <w:color w:val="auto"/>
          <w:szCs w:val="21"/>
          <w:highlight w:val="none"/>
        </w:rPr>
        <w:t>在</w:t>
      </w:r>
      <w:r>
        <w:rPr>
          <w:rFonts w:asciiTheme="minorEastAsia" w:hAnsiTheme="minorEastAsia" w:eastAsiaTheme="minorEastAsia"/>
          <w:color w:val="auto"/>
          <w:szCs w:val="21"/>
          <w:highlight w:val="none"/>
        </w:rPr>
        <w:t>上述约定时间</w:t>
      </w:r>
      <w:r>
        <w:rPr>
          <w:rFonts w:hint="eastAsia" w:asciiTheme="minorEastAsia" w:hAnsiTheme="minorEastAsia" w:eastAsiaTheme="minorEastAsia"/>
          <w:color w:val="auto"/>
          <w:szCs w:val="21"/>
          <w:highlight w:val="none"/>
        </w:rPr>
        <w:t>内</w:t>
      </w:r>
      <w:r>
        <w:rPr>
          <w:rFonts w:asciiTheme="minorEastAsia" w:hAnsiTheme="minorEastAsia" w:eastAsiaTheme="minorEastAsia"/>
          <w:color w:val="auto"/>
          <w:szCs w:val="21"/>
          <w:highlight w:val="none"/>
        </w:rPr>
        <w:t>到场解决，</w:t>
      </w:r>
      <w:r>
        <w:rPr>
          <w:rFonts w:hint="eastAsia" w:asciiTheme="minorEastAsia" w:hAnsiTheme="minorEastAsia" w:eastAsiaTheme="minorEastAsia"/>
          <w:color w:val="auto"/>
          <w:szCs w:val="21"/>
          <w:highlight w:val="none"/>
        </w:rPr>
        <w:t>因此</w:t>
      </w:r>
      <w:r>
        <w:rPr>
          <w:rFonts w:asciiTheme="minorEastAsia" w:hAnsiTheme="minorEastAsia" w:eastAsiaTheme="minorEastAsia"/>
          <w:color w:val="auto"/>
          <w:szCs w:val="21"/>
          <w:highlight w:val="none"/>
        </w:rPr>
        <w:t>产生的损失以及扩大损失全部由乙方承担，</w:t>
      </w:r>
      <w:r>
        <w:rPr>
          <w:rFonts w:hint="eastAsia" w:asciiTheme="minorEastAsia" w:hAnsiTheme="minorEastAsia" w:eastAsiaTheme="minorEastAsia"/>
          <w:color w:val="auto"/>
          <w:szCs w:val="21"/>
          <w:highlight w:val="none"/>
        </w:rPr>
        <w:t>甲方</w:t>
      </w:r>
      <w:r>
        <w:rPr>
          <w:rFonts w:asciiTheme="minorEastAsia" w:hAnsiTheme="minorEastAsia" w:eastAsiaTheme="minorEastAsia"/>
          <w:color w:val="auto"/>
          <w:szCs w:val="21"/>
          <w:highlight w:val="none"/>
        </w:rPr>
        <w:t>有权选择</w:t>
      </w:r>
      <w:r>
        <w:rPr>
          <w:rFonts w:hint="eastAsia" w:asciiTheme="minorEastAsia" w:hAnsiTheme="minorEastAsia" w:eastAsiaTheme="minorEastAsia"/>
          <w:color w:val="auto"/>
          <w:szCs w:val="21"/>
          <w:highlight w:val="none"/>
        </w:rPr>
        <w:t>解除</w:t>
      </w:r>
      <w:r>
        <w:rPr>
          <w:rFonts w:asciiTheme="minorEastAsia" w:hAnsiTheme="minorEastAsia" w:eastAsiaTheme="minorEastAsia"/>
          <w:color w:val="auto"/>
          <w:szCs w:val="21"/>
          <w:highlight w:val="none"/>
        </w:rPr>
        <w:t>合同，</w:t>
      </w:r>
      <w:r>
        <w:rPr>
          <w:rFonts w:hint="eastAsia" w:asciiTheme="minorEastAsia" w:hAnsiTheme="minorEastAsia" w:eastAsiaTheme="minorEastAsia"/>
          <w:color w:val="auto"/>
          <w:szCs w:val="21"/>
          <w:highlight w:val="none"/>
        </w:rPr>
        <w:t>要求退还</w:t>
      </w:r>
      <w:r>
        <w:rPr>
          <w:rFonts w:asciiTheme="minorEastAsia" w:hAnsiTheme="minorEastAsia" w:eastAsiaTheme="minorEastAsia"/>
          <w:color w:val="auto"/>
          <w:szCs w:val="21"/>
          <w:highlight w:val="none"/>
        </w:rPr>
        <w:t>全部货物，</w:t>
      </w:r>
      <w:r>
        <w:rPr>
          <w:rFonts w:hint="eastAsia" w:asciiTheme="minorEastAsia" w:hAnsiTheme="minorEastAsia" w:eastAsiaTheme="minorEastAsia"/>
          <w:color w:val="auto"/>
          <w:szCs w:val="21"/>
          <w:highlight w:val="none"/>
        </w:rPr>
        <w:t>返还</w:t>
      </w:r>
      <w:r>
        <w:rPr>
          <w:rFonts w:asciiTheme="minorEastAsia" w:hAnsiTheme="minorEastAsia" w:eastAsiaTheme="minorEastAsia"/>
          <w:color w:val="auto"/>
          <w:szCs w:val="21"/>
          <w:highlight w:val="none"/>
        </w:rPr>
        <w:t>所有货款，</w:t>
      </w:r>
      <w:r>
        <w:rPr>
          <w:rFonts w:hint="eastAsia" w:asciiTheme="minorEastAsia" w:hAnsiTheme="minorEastAsia" w:eastAsiaTheme="minorEastAsia"/>
          <w:color w:val="auto"/>
          <w:szCs w:val="21"/>
          <w:highlight w:val="none"/>
        </w:rPr>
        <w:t>并</w:t>
      </w:r>
      <w:r>
        <w:rPr>
          <w:rFonts w:asciiTheme="minorEastAsia" w:hAnsiTheme="minorEastAsia" w:eastAsiaTheme="minorEastAsia"/>
          <w:color w:val="auto"/>
          <w:szCs w:val="21"/>
          <w:highlight w:val="none"/>
        </w:rPr>
        <w:t>有权按照合同总额5%</w:t>
      </w:r>
      <w:r>
        <w:rPr>
          <w:rFonts w:hint="eastAsia" w:asciiTheme="minorEastAsia" w:hAnsiTheme="minorEastAsia" w:eastAsiaTheme="minorEastAsia"/>
          <w:color w:val="auto"/>
          <w:szCs w:val="21"/>
          <w:highlight w:val="none"/>
        </w:rPr>
        <w:t>标准</w:t>
      </w:r>
      <w:r>
        <w:rPr>
          <w:rFonts w:asciiTheme="minorEastAsia" w:hAnsiTheme="minorEastAsia" w:eastAsiaTheme="minorEastAsia"/>
          <w:color w:val="auto"/>
          <w:szCs w:val="21"/>
          <w:highlight w:val="none"/>
        </w:rPr>
        <w:t>向乙方主张违约金；</w:t>
      </w:r>
      <w:r>
        <w:rPr>
          <w:rFonts w:hint="eastAsia" w:asciiTheme="minorEastAsia" w:hAnsiTheme="minorEastAsia" w:eastAsiaTheme="minorEastAsia"/>
          <w:color w:val="auto"/>
          <w:szCs w:val="21"/>
          <w:highlight w:val="none"/>
        </w:rPr>
        <w:t>或者</w:t>
      </w:r>
      <w:r>
        <w:rPr>
          <w:rFonts w:asciiTheme="minorEastAsia" w:hAnsiTheme="minorEastAsia" w:eastAsiaTheme="minorEastAsia"/>
          <w:color w:val="auto"/>
          <w:szCs w:val="21"/>
          <w:highlight w:val="none"/>
        </w:rPr>
        <w:t>有权安排第三方</w:t>
      </w:r>
      <w:r>
        <w:rPr>
          <w:rFonts w:hint="eastAsia" w:asciiTheme="minorEastAsia" w:hAnsiTheme="minorEastAsia" w:eastAsiaTheme="minorEastAsia"/>
          <w:color w:val="auto"/>
          <w:szCs w:val="21"/>
          <w:highlight w:val="none"/>
        </w:rPr>
        <w:t>解决</w:t>
      </w:r>
      <w:r>
        <w:rPr>
          <w:rFonts w:asciiTheme="minorEastAsia" w:hAnsiTheme="minorEastAsia" w:eastAsiaTheme="minorEastAsia"/>
          <w:color w:val="auto"/>
          <w:szCs w:val="21"/>
          <w:highlight w:val="none"/>
        </w:rPr>
        <w:t>货物质量或缺陷问题，</w:t>
      </w:r>
      <w:r>
        <w:rPr>
          <w:rFonts w:hint="eastAsia" w:asciiTheme="minorEastAsia" w:hAnsiTheme="minorEastAsia" w:eastAsiaTheme="minorEastAsia"/>
          <w:color w:val="auto"/>
          <w:szCs w:val="21"/>
          <w:highlight w:val="none"/>
        </w:rPr>
        <w:t>因此</w:t>
      </w:r>
      <w:r>
        <w:rPr>
          <w:rFonts w:asciiTheme="minorEastAsia" w:hAnsiTheme="minorEastAsia" w:eastAsiaTheme="minorEastAsia"/>
          <w:color w:val="auto"/>
          <w:szCs w:val="21"/>
          <w:highlight w:val="none"/>
        </w:rPr>
        <w:t>产生</w:t>
      </w:r>
      <w:r>
        <w:rPr>
          <w:rFonts w:hint="eastAsia" w:asciiTheme="minorEastAsia" w:hAnsiTheme="minorEastAsia" w:eastAsiaTheme="minorEastAsia"/>
          <w:color w:val="auto"/>
          <w:szCs w:val="21"/>
          <w:highlight w:val="none"/>
        </w:rPr>
        <w:t>的</w:t>
      </w:r>
      <w:r>
        <w:rPr>
          <w:rFonts w:asciiTheme="minorEastAsia" w:hAnsiTheme="minorEastAsia" w:eastAsiaTheme="minorEastAsia"/>
          <w:color w:val="auto"/>
          <w:szCs w:val="21"/>
          <w:highlight w:val="none"/>
        </w:rPr>
        <w:t>所有费用全部由乙方承担，</w:t>
      </w:r>
      <w:r>
        <w:rPr>
          <w:rFonts w:hint="eastAsia" w:asciiTheme="minorEastAsia" w:hAnsiTheme="minorEastAsia" w:eastAsiaTheme="minorEastAsia"/>
          <w:color w:val="auto"/>
          <w:szCs w:val="21"/>
          <w:highlight w:val="none"/>
        </w:rPr>
        <w:t>甲方可以</w:t>
      </w:r>
      <w:r>
        <w:rPr>
          <w:rFonts w:asciiTheme="minorEastAsia" w:hAnsiTheme="minorEastAsia" w:eastAsiaTheme="minorEastAsia"/>
          <w:color w:val="auto"/>
          <w:szCs w:val="21"/>
          <w:highlight w:val="none"/>
        </w:rPr>
        <w:t>在应付乙方的货款中直接扣除，</w:t>
      </w:r>
      <w:r>
        <w:rPr>
          <w:rFonts w:hint="eastAsia" w:asciiTheme="minorEastAsia" w:hAnsiTheme="minorEastAsia" w:eastAsiaTheme="minorEastAsia"/>
          <w:color w:val="auto"/>
          <w:szCs w:val="21"/>
          <w:highlight w:val="none"/>
        </w:rPr>
        <w:t>并</w:t>
      </w:r>
      <w:r>
        <w:rPr>
          <w:rFonts w:asciiTheme="minorEastAsia" w:hAnsiTheme="minorEastAsia" w:eastAsiaTheme="minorEastAsia"/>
          <w:color w:val="auto"/>
          <w:szCs w:val="21"/>
          <w:highlight w:val="none"/>
        </w:rPr>
        <w:t>有权按照合同总额5%</w:t>
      </w:r>
      <w:r>
        <w:rPr>
          <w:rFonts w:hint="eastAsia" w:asciiTheme="minorEastAsia" w:hAnsiTheme="minorEastAsia" w:eastAsiaTheme="minorEastAsia"/>
          <w:color w:val="auto"/>
          <w:szCs w:val="21"/>
          <w:highlight w:val="none"/>
        </w:rPr>
        <w:t>标准</w:t>
      </w:r>
      <w:r>
        <w:rPr>
          <w:rFonts w:asciiTheme="minorEastAsia" w:hAnsiTheme="minorEastAsia" w:eastAsiaTheme="minorEastAsia"/>
          <w:color w:val="auto"/>
          <w:szCs w:val="21"/>
          <w:highlight w:val="none"/>
        </w:rPr>
        <w:t>向乙方主张违约金</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若上述违约金不足以弥补甲方直接损失和</w:t>
      </w:r>
      <w:r>
        <w:rPr>
          <w:rFonts w:hint="eastAsia" w:asciiTheme="minorEastAsia" w:hAnsiTheme="minorEastAsia" w:eastAsiaTheme="minorEastAsia"/>
          <w:color w:val="auto"/>
          <w:szCs w:val="21"/>
          <w:highlight w:val="none"/>
        </w:rPr>
        <w:t>间接</w:t>
      </w:r>
      <w:r>
        <w:rPr>
          <w:rFonts w:asciiTheme="minorEastAsia" w:hAnsiTheme="minorEastAsia" w:eastAsiaTheme="minorEastAsia"/>
          <w:color w:val="auto"/>
          <w:szCs w:val="21"/>
          <w:highlight w:val="none"/>
        </w:rPr>
        <w:t>损失，</w:t>
      </w:r>
      <w:r>
        <w:rPr>
          <w:rFonts w:hint="eastAsia" w:asciiTheme="minorEastAsia" w:hAnsiTheme="minorEastAsia" w:eastAsiaTheme="minorEastAsia"/>
          <w:color w:val="auto"/>
          <w:szCs w:val="21"/>
          <w:highlight w:val="none"/>
        </w:rPr>
        <w:t>则</w:t>
      </w:r>
      <w:r>
        <w:rPr>
          <w:rFonts w:asciiTheme="minorEastAsia" w:hAnsiTheme="minorEastAsia" w:eastAsiaTheme="minorEastAsia"/>
          <w:color w:val="auto"/>
          <w:szCs w:val="21"/>
          <w:highlight w:val="none"/>
        </w:rPr>
        <w:t>乙方应赔偿</w:t>
      </w:r>
      <w:r>
        <w:rPr>
          <w:rFonts w:hint="eastAsia" w:asciiTheme="minorEastAsia" w:hAnsiTheme="minorEastAsia" w:eastAsiaTheme="minorEastAsia"/>
          <w:color w:val="auto"/>
          <w:szCs w:val="21"/>
          <w:highlight w:val="none"/>
        </w:rPr>
        <w:t>甲方</w:t>
      </w:r>
      <w:r>
        <w:rPr>
          <w:rFonts w:asciiTheme="minorEastAsia" w:hAnsiTheme="minorEastAsia" w:eastAsiaTheme="minorEastAsia"/>
          <w:color w:val="auto"/>
          <w:szCs w:val="21"/>
          <w:highlight w:val="none"/>
        </w:rPr>
        <w:t>所有损失。</w:t>
      </w:r>
    </w:p>
    <w:p w14:paraId="27202D1D">
      <w:pPr>
        <w:adjustRightInd w:val="0"/>
        <w:snapToGrid w:val="0"/>
        <w:spacing w:line="36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甲方</w:t>
      </w:r>
      <w:r>
        <w:rPr>
          <w:rFonts w:asciiTheme="minorEastAsia" w:hAnsiTheme="minorEastAsia" w:eastAsiaTheme="minorEastAsia"/>
          <w:color w:val="auto"/>
          <w:szCs w:val="21"/>
          <w:highlight w:val="none"/>
        </w:rPr>
        <w:t>因主张上述权利</w:t>
      </w:r>
      <w:r>
        <w:rPr>
          <w:rFonts w:hint="eastAsia" w:asciiTheme="minorEastAsia" w:hAnsiTheme="minorEastAsia" w:eastAsiaTheme="minorEastAsia"/>
          <w:color w:val="auto"/>
          <w:szCs w:val="21"/>
          <w:highlight w:val="none"/>
        </w:rPr>
        <w:t>而</w:t>
      </w:r>
      <w:r>
        <w:rPr>
          <w:rFonts w:asciiTheme="minorEastAsia" w:hAnsiTheme="minorEastAsia" w:eastAsiaTheme="minorEastAsia"/>
          <w:color w:val="auto"/>
          <w:szCs w:val="21"/>
          <w:highlight w:val="none"/>
        </w:rPr>
        <w:t>支出的所有合理费用，</w:t>
      </w:r>
      <w:r>
        <w:rPr>
          <w:rFonts w:hint="eastAsia" w:asciiTheme="minorEastAsia" w:hAnsiTheme="minorEastAsia" w:eastAsiaTheme="minorEastAsia"/>
          <w:color w:val="auto"/>
          <w:szCs w:val="21"/>
          <w:highlight w:val="none"/>
        </w:rPr>
        <w:t>包括</w:t>
      </w:r>
      <w:r>
        <w:rPr>
          <w:rFonts w:asciiTheme="minorEastAsia" w:hAnsiTheme="minorEastAsia" w:eastAsiaTheme="minorEastAsia"/>
          <w:color w:val="auto"/>
          <w:szCs w:val="21"/>
          <w:highlight w:val="none"/>
        </w:rPr>
        <w:t>但不限于律师费、</w:t>
      </w:r>
      <w:r>
        <w:rPr>
          <w:rFonts w:hint="eastAsia" w:asciiTheme="minorEastAsia" w:hAnsiTheme="minorEastAsia" w:eastAsiaTheme="minorEastAsia"/>
          <w:color w:val="auto"/>
          <w:szCs w:val="21"/>
          <w:highlight w:val="none"/>
        </w:rPr>
        <w:t>诉讼费</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鉴定费</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差旅费</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保函</w:t>
      </w:r>
      <w:r>
        <w:rPr>
          <w:rFonts w:asciiTheme="minorEastAsia" w:hAnsiTheme="minorEastAsia" w:eastAsiaTheme="minorEastAsia"/>
          <w:color w:val="auto"/>
          <w:szCs w:val="21"/>
          <w:highlight w:val="none"/>
        </w:rPr>
        <w:t>费等，</w:t>
      </w:r>
      <w:r>
        <w:rPr>
          <w:rFonts w:hint="eastAsia" w:asciiTheme="minorEastAsia" w:hAnsiTheme="minorEastAsia" w:eastAsiaTheme="minorEastAsia"/>
          <w:color w:val="auto"/>
          <w:szCs w:val="21"/>
          <w:highlight w:val="none"/>
        </w:rPr>
        <w:t>均由</w:t>
      </w:r>
      <w:r>
        <w:rPr>
          <w:rFonts w:asciiTheme="minorEastAsia" w:hAnsiTheme="minorEastAsia" w:eastAsiaTheme="minorEastAsia"/>
          <w:color w:val="auto"/>
          <w:szCs w:val="21"/>
          <w:highlight w:val="none"/>
        </w:rPr>
        <w:t>乙方承担。</w:t>
      </w:r>
    </w:p>
    <w:p w14:paraId="5DCF79FE">
      <w:pPr>
        <w:adjustRightInd w:val="0"/>
        <w:snapToGrid w:val="0"/>
        <w:spacing w:line="36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第十条 争议的解决</w:t>
      </w:r>
    </w:p>
    <w:p w14:paraId="7CCE2C00">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.因履行本合同引起的或与本合同有关的争议，甲、乙双方应首先通过友好协商解决，如果协商不能解决争议，则采取以下第（ ）种方式解决争议：</w:t>
      </w:r>
    </w:p>
    <w:p w14:paraId="0F92C965">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（1）向甲方所在地人民法院提起诉讼；</w:t>
      </w:r>
    </w:p>
    <w:p w14:paraId="720AE180">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（2）向甲方所在地仲裁委员会按其仲裁规则申请仲裁。</w:t>
      </w:r>
    </w:p>
    <w:p w14:paraId="12CB8412">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如没有约定，默认采取第2种方式解决争议。</w:t>
      </w:r>
    </w:p>
    <w:p w14:paraId="3CAB9155">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.在法院审理和仲裁期间，除有争议部分外，本合同其他部分应继续履行。</w:t>
      </w:r>
    </w:p>
    <w:p w14:paraId="0FC840D6">
      <w:pPr>
        <w:adjustRightInd w:val="0"/>
        <w:snapToGrid w:val="0"/>
        <w:spacing w:line="36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第十</w:t>
      </w:r>
      <w:r>
        <w:rPr>
          <w:rFonts w:hint="eastAsia" w:asciiTheme="minorEastAsia" w:hAnsiTheme="minorEastAsia" w:eastAsiaTheme="minorEastAsia"/>
          <w:b/>
          <w:color w:val="auto"/>
          <w:szCs w:val="21"/>
          <w:highlight w:val="none"/>
          <w:lang w:eastAsia="zh-CN"/>
        </w:rPr>
        <w:t>一</w:t>
      </w:r>
      <w:r>
        <w:rPr>
          <w:rFonts w:hint="eastAsia" w:asciiTheme="minorEastAsia" w:hAnsiTheme="minorEastAsia" w:eastAsiaTheme="minorEastAsia"/>
          <w:b/>
          <w:color w:val="auto"/>
          <w:szCs w:val="21"/>
          <w:highlight w:val="none"/>
        </w:rPr>
        <w:t xml:space="preserve">条 诚实信用 </w:t>
      </w:r>
    </w:p>
    <w:p w14:paraId="3B0922B9">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乙方应诚实信用，严格按照询价通知书要求和投标承诺履行合同，不向甲方进行商业贿赂或者提供不正当利益。</w:t>
      </w:r>
    </w:p>
    <w:p w14:paraId="65358820">
      <w:pPr>
        <w:adjustRightInd w:val="0"/>
        <w:snapToGrid w:val="0"/>
        <w:spacing w:line="36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第十</w:t>
      </w:r>
      <w:r>
        <w:rPr>
          <w:rFonts w:hint="eastAsia" w:asciiTheme="minorEastAsia" w:hAnsiTheme="minorEastAsia" w:eastAsiaTheme="minorEastAsia"/>
          <w:b/>
          <w:color w:val="auto"/>
          <w:szCs w:val="21"/>
          <w:highlight w:val="none"/>
          <w:lang w:eastAsia="zh-CN"/>
        </w:rPr>
        <w:t>二</w:t>
      </w:r>
      <w:r>
        <w:rPr>
          <w:rFonts w:hint="eastAsia" w:asciiTheme="minorEastAsia" w:hAnsiTheme="minorEastAsia" w:eastAsiaTheme="minorEastAsia"/>
          <w:b/>
          <w:color w:val="auto"/>
          <w:szCs w:val="21"/>
          <w:highlight w:val="none"/>
        </w:rPr>
        <w:t xml:space="preserve"> 合同生效及其他</w:t>
      </w:r>
    </w:p>
    <w:p w14:paraId="2BE87113">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1.本合同自经甲乙双方授权代表签订并加盖公章后，自签订之日起生效。见证方仅对甲乙双方签订采购合同的事实进行见证，不代表任何承诺或保证，该合同的履行等相关情况均与见证方无任何关系。</w:t>
      </w:r>
    </w:p>
    <w:p w14:paraId="60327491">
      <w:pPr>
        <w:adjustRightInd w:val="0"/>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2.本合同一式伍份，甲乙双方各执贰份，代理机构执壹份存档。</w:t>
      </w:r>
    </w:p>
    <w:p w14:paraId="44DC2BDC">
      <w:pPr>
        <w:spacing w:line="360" w:lineRule="exact"/>
        <w:ind w:firstLine="420" w:firstLineChars="200"/>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3.本合同应按照中华人民共和国的现行法律进行解释。</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2"/>
      </w:tblGrid>
      <w:tr w14:paraId="7036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14:paraId="1550510A">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宋体"/>
                <w:b/>
                <w:bCs/>
                <w:color w:val="auto"/>
                <w:szCs w:val="21"/>
                <w:highlight w:val="none"/>
              </w:rPr>
              <w:t>甲    方</w:t>
            </w:r>
            <w:r>
              <w:rPr>
                <w:rFonts w:hint="eastAsia" w:ascii="宋体" w:hAnsi="宋体" w:cs="宋体"/>
                <w:color w:val="auto"/>
                <w:szCs w:val="21"/>
                <w:highlight w:val="none"/>
              </w:rPr>
              <w:t xml:space="preserve">：                     </w:t>
            </w:r>
          </w:p>
          <w:p w14:paraId="05398934">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宋体"/>
                <w:color w:val="auto"/>
                <w:szCs w:val="21"/>
                <w:highlight w:val="none"/>
              </w:rPr>
              <w:t xml:space="preserve">单位名称（章）：    </w:t>
            </w:r>
            <w:r>
              <w:rPr>
                <w:rFonts w:ascii="宋体" w:hAnsi="宋体" w:cs="宋体"/>
                <w:color w:val="auto"/>
                <w:szCs w:val="21"/>
                <w:highlight w:val="none"/>
              </w:rPr>
              <w:t xml:space="preserve">            </w:t>
            </w:r>
          </w:p>
          <w:p w14:paraId="564FFEAE">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宋体"/>
                <w:color w:val="auto"/>
                <w:szCs w:val="21"/>
                <w:highlight w:val="none"/>
              </w:rPr>
              <w:t xml:space="preserve">单位地址：         </w:t>
            </w:r>
            <w:r>
              <w:rPr>
                <w:rFonts w:ascii="宋体" w:hAnsi="宋体" w:cs="宋体"/>
                <w:color w:val="auto"/>
                <w:szCs w:val="21"/>
                <w:highlight w:val="none"/>
              </w:rPr>
              <w:t xml:space="preserve">            </w:t>
            </w:r>
          </w:p>
          <w:p w14:paraId="5A4949FE">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宋体"/>
                <w:color w:val="auto"/>
                <w:szCs w:val="21"/>
                <w:highlight w:val="none"/>
              </w:rPr>
              <w:t>法定代表人：       委托代理人：</w:t>
            </w:r>
          </w:p>
          <w:p w14:paraId="166E6684">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宋体"/>
                <w:color w:val="auto"/>
                <w:szCs w:val="21"/>
                <w:highlight w:val="none"/>
              </w:rPr>
              <w:t xml:space="preserve">电话：                         </w:t>
            </w:r>
          </w:p>
          <w:p w14:paraId="539F8A4D">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宋体"/>
                <w:color w:val="auto"/>
                <w:szCs w:val="21"/>
                <w:highlight w:val="none"/>
              </w:rPr>
              <w:t xml:space="preserve">传真：                         </w:t>
            </w:r>
          </w:p>
          <w:p w14:paraId="74C7F02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Cs w:val="21"/>
                <w:highlight w:val="none"/>
                <w:vertAlign w:val="baseline"/>
              </w:rPr>
            </w:pPr>
          </w:p>
        </w:tc>
        <w:tc>
          <w:tcPr>
            <w:tcW w:w="4262" w:type="dxa"/>
          </w:tcPr>
          <w:p w14:paraId="67F2D8E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宋体"/>
                <w:b/>
                <w:bCs/>
                <w:color w:val="auto"/>
                <w:szCs w:val="21"/>
                <w:highlight w:val="none"/>
              </w:rPr>
              <w:t>乙    方</w:t>
            </w:r>
            <w:r>
              <w:rPr>
                <w:rFonts w:hint="eastAsia" w:ascii="宋体" w:hAnsi="宋体" w:cs="宋体"/>
                <w:color w:val="auto"/>
                <w:szCs w:val="21"/>
                <w:highlight w:val="none"/>
              </w:rPr>
              <w:t>：</w:t>
            </w:r>
          </w:p>
          <w:p w14:paraId="50402A2B">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宋体"/>
                <w:color w:val="auto"/>
                <w:szCs w:val="21"/>
                <w:highlight w:val="none"/>
              </w:rPr>
              <w:t>单位名称（章）：</w:t>
            </w:r>
          </w:p>
          <w:p w14:paraId="768971F0">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宋体"/>
                <w:color w:val="auto"/>
                <w:szCs w:val="21"/>
                <w:highlight w:val="none"/>
              </w:rPr>
              <w:t>单位地址：</w:t>
            </w:r>
          </w:p>
          <w:p w14:paraId="3100917B">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宋体"/>
                <w:color w:val="auto"/>
                <w:szCs w:val="21"/>
                <w:highlight w:val="none"/>
              </w:rPr>
              <w:t xml:space="preserve">法定代表人：     委托代理人： </w:t>
            </w:r>
          </w:p>
          <w:p w14:paraId="19EDB2EA">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宋体"/>
                <w:color w:val="auto"/>
                <w:szCs w:val="21"/>
                <w:highlight w:val="none"/>
              </w:rPr>
              <w:t>电话：            传真：</w:t>
            </w:r>
          </w:p>
          <w:p w14:paraId="54EA540C">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宋体"/>
                <w:color w:val="auto"/>
                <w:szCs w:val="21"/>
                <w:highlight w:val="none"/>
              </w:rPr>
              <w:t xml:space="preserve">开户银行：        帐号：      </w:t>
            </w:r>
          </w:p>
          <w:p w14:paraId="0707EEF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Cs w:val="21"/>
                <w:highlight w:val="none"/>
                <w:vertAlign w:val="baseline"/>
              </w:rPr>
            </w:pPr>
          </w:p>
        </w:tc>
      </w:tr>
    </w:tbl>
    <w:p w14:paraId="297241F4">
      <w:pPr>
        <w:spacing w:line="400" w:lineRule="exact"/>
        <w:rPr>
          <w:rFonts w:ascii="宋体" w:hAnsi="宋体" w:cs="宋体"/>
          <w:b/>
          <w:bCs/>
          <w:color w:val="auto"/>
          <w:szCs w:val="21"/>
          <w:highlight w:val="none"/>
        </w:rPr>
      </w:pPr>
    </w:p>
    <w:p w14:paraId="79274BA6">
      <w:pPr>
        <w:spacing w:line="400" w:lineRule="exact"/>
        <w:rPr>
          <w:rFonts w:ascii="宋体" w:hAnsi="宋体" w:cs="宋体"/>
          <w:color w:val="auto"/>
          <w:szCs w:val="21"/>
          <w:highlight w:val="none"/>
        </w:rPr>
      </w:pPr>
      <w:r>
        <w:rPr>
          <w:rFonts w:hint="eastAsia" w:ascii="宋体" w:hAnsi="宋体" w:cs="宋体"/>
          <w:b/>
          <w:bCs/>
          <w:color w:val="auto"/>
          <w:szCs w:val="21"/>
          <w:highlight w:val="none"/>
        </w:rPr>
        <w:t>见证方</w:t>
      </w:r>
      <w:r>
        <w:rPr>
          <w:rFonts w:hint="eastAsia" w:ascii="宋体" w:hAnsi="宋体" w:cs="宋体"/>
          <w:color w:val="auto"/>
          <w:szCs w:val="21"/>
          <w:highlight w:val="none"/>
        </w:rPr>
        <w:t>：</w:t>
      </w:r>
    </w:p>
    <w:p w14:paraId="3CA85D38">
      <w:pPr>
        <w:tabs>
          <w:tab w:val="left" w:pos="3780"/>
        </w:tabs>
        <w:spacing w:line="400" w:lineRule="exact"/>
        <w:rPr>
          <w:rFonts w:ascii="宋体" w:hAnsi="宋体" w:cs="宋体"/>
          <w:color w:val="auto"/>
          <w:szCs w:val="21"/>
          <w:highlight w:val="none"/>
        </w:rPr>
      </w:pPr>
      <w:r>
        <w:rPr>
          <w:rFonts w:hint="eastAsia" w:ascii="宋体" w:hAnsi="宋体" w:cs="宋体"/>
          <w:color w:val="auto"/>
          <w:szCs w:val="21"/>
          <w:highlight w:val="none"/>
        </w:rPr>
        <w:t>代理机构（章）：</w:t>
      </w:r>
      <w:r>
        <w:rPr>
          <w:rFonts w:hint="eastAsia" w:ascii="宋体" w:hAnsi="宋体" w:cs="宋体"/>
          <w:b/>
          <w:bCs/>
          <w:color w:val="auto"/>
          <w:szCs w:val="21"/>
          <w:highlight w:val="none"/>
          <w:u w:val="single"/>
        </w:rPr>
        <w:t>常州市城投建设工程招标有限公司</w:t>
      </w:r>
    </w:p>
    <w:p w14:paraId="7EA92E95">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p>
    <w:p w14:paraId="072CD6DD">
      <w:pPr>
        <w:spacing w:line="400" w:lineRule="exact"/>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经办人：                               电  话：</w:t>
      </w:r>
    </w:p>
    <w:p w14:paraId="0D2C44AB">
      <w:pPr>
        <w:outlineLvl w:val="1"/>
        <w:rPr>
          <w:rFonts w:hint="eastAsia" w:hAnsi="宋体" w:cs="宋体"/>
          <w:b/>
          <w:color w:val="auto"/>
          <w:sz w:val="30"/>
          <w:szCs w:val="30"/>
          <w:highlight w:val="none"/>
        </w:rPr>
      </w:pPr>
    </w:p>
    <w:p w14:paraId="417DAA11">
      <w:pPr>
        <w:rPr>
          <w:b/>
          <w:color w:val="auto"/>
          <w:sz w:val="28"/>
          <w:szCs w:val="28"/>
          <w:highlight w:val="none"/>
        </w:rPr>
      </w:pPr>
      <w:r>
        <w:rPr>
          <w:rFonts w:hint="eastAsia" w:hAnsi="宋体" w:cs="宋体"/>
          <w:b/>
          <w:color w:val="auto"/>
          <w:sz w:val="30"/>
          <w:szCs w:val="30"/>
          <w:highlight w:val="none"/>
        </w:rPr>
        <w:br w:type="page"/>
      </w:r>
      <w:r>
        <w:rPr>
          <w:rFonts w:hint="eastAsia" w:ascii="宋体" w:hAnsi="宋体" w:cs="宋体"/>
          <w:b/>
          <w:color w:val="auto"/>
          <w:kern w:val="0"/>
          <w:szCs w:val="21"/>
          <w:highlight w:val="none"/>
        </w:rPr>
        <w:t>附件：1.供应商资格声明函</w:t>
      </w:r>
    </w:p>
    <w:p w14:paraId="13D73D8C">
      <w:pPr>
        <w:pStyle w:val="5"/>
        <w:spacing w:line="460" w:lineRule="exact"/>
        <w:ind w:firstLine="0"/>
        <w:jc w:val="center"/>
        <w:rPr>
          <w:color w:val="auto"/>
          <w:szCs w:val="24"/>
          <w:highlight w:val="none"/>
        </w:rPr>
      </w:pPr>
      <w:r>
        <w:rPr>
          <w:rFonts w:hint="eastAsia"/>
          <w:b/>
          <w:color w:val="auto"/>
          <w:sz w:val="28"/>
          <w:szCs w:val="28"/>
          <w:highlight w:val="none"/>
        </w:rPr>
        <w:t>供应商资格声明函</w:t>
      </w:r>
    </w:p>
    <w:p w14:paraId="4201E0EB">
      <w:pPr>
        <w:pStyle w:val="5"/>
        <w:spacing w:line="360" w:lineRule="exact"/>
        <w:ind w:firstLine="0"/>
        <w:rPr>
          <w:color w:val="auto"/>
          <w:sz w:val="21"/>
          <w:szCs w:val="21"/>
          <w:highlight w:val="none"/>
        </w:rPr>
      </w:pPr>
    </w:p>
    <w:p w14:paraId="198B08DE">
      <w:pPr>
        <w:pStyle w:val="5"/>
        <w:spacing w:line="360" w:lineRule="exact"/>
        <w:ind w:firstLine="0"/>
        <w:rPr>
          <w:color w:val="auto"/>
          <w:sz w:val="21"/>
          <w:szCs w:val="21"/>
          <w:highlight w:val="none"/>
        </w:rPr>
      </w:pPr>
      <w:r>
        <w:rPr>
          <w:rFonts w:hint="eastAsia"/>
          <w:color w:val="auto"/>
          <w:sz w:val="21"/>
          <w:szCs w:val="21"/>
          <w:highlight w:val="none"/>
        </w:rPr>
        <w:t>常州市公安局、常州市城投建设工程招标有限公司：</w:t>
      </w:r>
    </w:p>
    <w:p w14:paraId="77F52F62">
      <w:pPr>
        <w:pStyle w:val="5"/>
        <w:spacing w:line="360" w:lineRule="exact"/>
        <w:ind w:firstLine="480"/>
        <w:rPr>
          <w:color w:val="auto"/>
          <w:sz w:val="21"/>
          <w:szCs w:val="21"/>
          <w:highlight w:val="none"/>
        </w:rPr>
      </w:pPr>
      <w:r>
        <w:rPr>
          <w:rFonts w:hint="eastAsia"/>
          <w:color w:val="auto"/>
          <w:sz w:val="21"/>
          <w:szCs w:val="21"/>
          <w:highlight w:val="none"/>
        </w:rPr>
        <w:t>按照询价通知书要求的“申请人的资格要求”，我单位郑重声明如下：</w:t>
      </w:r>
    </w:p>
    <w:p w14:paraId="7CF61598">
      <w:pPr>
        <w:pStyle w:val="5"/>
        <w:spacing w:line="360" w:lineRule="exact"/>
        <w:ind w:firstLine="480"/>
        <w:rPr>
          <w:color w:val="auto"/>
          <w:sz w:val="21"/>
          <w:szCs w:val="21"/>
          <w:highlight w:val="none"/>
        </w:rPr>
      </w:pPr>
      <w:r>
        <w:rPr>
          <w:rFonts w:hint="eastAsia"/>
          <w:color w:val="auto"/>
          <w:sz w:val="21"/>
          <w:szCs w:val="21"/>
          <w:highlight w:val="none"/>
        </w:rPr>
        <w:t>一、我单位是按照中华人民共和国法律规定登记注册的，注册地点为</w:t>
      </w:r>
      <w:r>
        <w:rPr>
          <w:color w:val="auto"/>
          <w:sz w:val="21"/>
          <w:szCs w:val="21"/>
          <w:highlight w:val="none"/>
          <w:u w:val="single"/>
        </w:rPr>
        <w:t xml:space="preserve">         </w:t>
      </w:r>
      <w:r>
        <w:rPr>
          <w:rFonts w:hint="eastAsia"/>
          <w:color w:val="auto"/>
          <w:sz w:val="21"/>
          <w:szCs w:val="21"/>
          <w:highlight w:val="none"/>
        </w:rPr>
        <w:t>，全称为</w:t>
      </w:r>
      <w:r>
        <w:rPr>
          <w:color w:val="auto"/>
          <w:sz w:val="21"/>
          <w:szCs w:val="21"/>
          <w:highlight w:val="none"/>
          <w:u w:val="single"/>
        </w:rPr>
        <w:t xml:space="preserve">        </w:t>
      </w:r>
      <w:r>
        <w:rPr>
          <w:rFonts w:hint="eastAsia"/>
          <w:color w:val="auto"/>
          <w:sz w:val="21"/>
          <w:szCs w:val="21"/>
          <w:highlight w:val="none"/>
        </w:rPr>
        <w:t>，统一社会信用代码为</w:t>
      </w:r>
      <w:r>
        <w:rPr>
          <w:color w:val="auto"/>
          <w:sz w:val="21"/>
          <w:szCs w:val="21"/>
          <w:highlight w:val="none"/>
          <w:u w:val="single"/>
        </w:rPr>
        <w:t xml:space="preserve">           </w:t>
      </w:r>
      <w:r>
        <w:rPr>
          <w:color w:val="auto"/>
          <w:sz w:val="21"/>
          <w:szCs w:val="21"/>
          <w:highlight w:val="none"/>
        </w:rPr>
        <w:t xml:space="preserve"> </w:t>
      </w:r>
      <w:r>
        <w:rPr>
          <w:rFonts w:hint="eastAsia"/>
          <w:color w:val="auto"/>
          <w:sz w:val="21"/>
          <w:szCs w:val="21"/>
          <w:highlight w:val="none"/>
        </w:rPr>
        <w:t>，法定代表人（单位负责人）为</w:t>
      </w:r>
      <w:r>
        <w:rPr>
          <w:color w:val="auto"/>
          <w:sz w:val="21"/>
          <w:szCs w:val="21"/>
          <w:highlight w:val="none"/>
          <w:u w:val="single"/>
        </w:rPr>
        <w:t xml:space="preserve">         </w:t>
      </w:r>
      <w:r>
        <w:rPr>
          <w:rFonts w:hint="eastAsia"/>
          <w:color w:val="auto"/>
          <w:sz w:val="21"/>
          <w:szCs w:val="21"/>
          <w:highlight w:val="none"/>
        </w:rPr>
        <w:t>，具有独立承担民事责任的能力</w:t>
      </w:r>
      <w:r>
        <w:rPr>
          <w:rFonts w:hint="eastAsia"/>
          <w:b/>
          <w:color w:val="auto"/>
          <w:sz w:val="21"/>
          <w:szCs w:val="21"/>
          <w:highlight w:val="none"/>
        </w:rPr>
        <w:t>（如属于分公司经总公司授权参与项目，由总公司承担民事责任的，需提供总公司项目授权书）</w:t>
      </w:r>
      <w:r>
        <w:rPr>
          <w:rFonts w:hint="eastAsia"/>
          <w:color w:val="auto"/>
          <w:sz w:val="21"/>
          <w:szCs w:val="21"/>
          <w:highlight w:val="none"/>
        </w:rPr>
        <w:t>。</w:t>
      </w:r>
    </w:p>
    <w:p w14:paraId="49E206AC">
      <w:pPr>
        <w:pStyle w:val="5"/>
        <w:spacing w:line="360" w:lineRule="exact"/>
        <w:ind w:firstLine="480"/>
        <w:rPr>
          <w:color w:val="auto"/>
          <w:sz w:val="21"/>
          <w:szCs w:val="21"/>
          <w:highlight w:val="none"/>
        </w:rPr>
      </w:pPr>
      <w:r>
        <w:rPr>
          <w:rFonts w:hint="eastAsia"/>
          <w:color w:val="auto"/>
          <w:sz w:val="21"/>
          <w:szCs w:val="21"/>
          <w:highlight w:val="none"/>
        </w:rPr>
        <w:t>二、我单位未被“国家企业信用信息系统”列入经营异常名录或者严重违法企业名单。</w:t>
      </w:r>
    </w:p>
    <w:p w14:paraId="46BE9A2D">
      <w:pPr>
        <w:pStyle w:val="5"/>
        <w:spacing w:line="360" w:lineRule="exact"/>
        <w:ind w:firstLine="480"/>
        <w:rPr>
          <w:color w:val="auto"/>
          <w:sz w:val="21"/>
          <w:szCs w:val="21"/>
          <w:highlight w:val="none"/>
        </w:rPr>
      </w:pPr>
      <w:r>
        <w:rPr>
          <w:rFonts w:hint="eastAsia"/>
          <w:color w:val="auto"/>
          <w:sz w:val="21"/>
          <w:szCs w:val="21"/>
          <w:highlight w:val="none"/>
        </w:rPr>
        <w:t>三、我单位具有良好的商业信誉（指供应商经营状况良好，无本资格声明第十条情形）和健全的财务会计制度。</w:t>
      </w:r>
    </w:p>
    <w:p w14:paraId="5A0D85F6">
      <w:pPr>
        <w:pStyle w:val="5"/>
        <w:spacing w:line="360" w:lineRule="exact"/>
        <w:ind w:firstLine="480"/>
        <w:rPr>
          <w:color w:val="auto"/>
          <w:sz w:val="21"/>
          <w:szCs w:val="21"/>
          <w:highlight w:val="none"/>
        </w:rPr>
      </w:pPr>
      <w:r>
        <w:rPr>
          <w:rFonts w:hint="eastAsia"/>
          <w:color w:val="auto"/>
          <w:sz w:val="21"/>
          <w:szCs w:val="21"/>
          <w:highlight w:val="none"/>
        </w:rPr>
        <w:t>四、我单位依法进行纳税和社会保险申报并实际履行了义务。</w:t>
      </w:r>
    </w:p>
    <w:p w14:paraId="0D477ADA">
      <w:pPr>
        <w:pStyle w:val="5"/>
        <w:spacing w:line="360" w:lineRule="exact"/>
        <w:ind w:firstLine="480"/>
        <w:rPr>
          <w:color w:val="auto"/>
          <w:sz w:val="21"/>
          <w:szCs w:val="21"/>
          <w:highlight w:val="none"/>
        </w:rPr>
      </w:pPr>
      <w:r>
        <w:rPr>
          <w:rFonts w:hint="eastAsia"/>
          <w:color w:val="auto"/>
          <w:sz w:val="21"/>
          <w:szCs w:val="21"/>
          <w:highlight w:val="none"/>
        </w:rPr>
        <w:t>五、我单位具有履行本项目采购合同所必需的设备和专业技术能力，并具有履行合同的良好记录。为履行本项采购合同我单位具备如下主要设备和主要专业技术能力</w:t>
      </w:r>
      <w:r>
        <w:rPr>
          <w:color w:val="auto"/>
          <w:sz w:val="21"/>
          <w:szCs w:val="21"/>
          <w:highlight w:val="none"/>
        </w:rPr>
        <w:t>:</w:t>
      </w:r>
    </w:p>
    <w:p w14:paraId="6BA1E293">
      <w:pPr>
        <w:pStyle w:val="5"/>
        <w:spacing w:line="360" w:lineRule="exact"/>
        <w:ind w:firstLine="480"/>
        <w:rPr>
          <w:color w:val="auto"/>
          <w:sz w:val="21"/>
          <w:szCs w:val="21"/>
          <w:highlight w:val="none"/>
        </w:rPr>
      </w:pPr>
      <w:r>
        <w:rPr>
          <w:rFonts w:hint="eastAsia"/>
          <w:color w:val="auto"/>
          <w:sz w:val="21"/>
          <w:szCs w:val="21"/>
          <w:highlight w:val="none"/>
        </w:rPr>
        <w:t>主要设备有：</w:t>
      </w:r>
      <w:r>
        <w:rPr>
          <w:color w:val="auto"/>
          <w:sz w:val="21"/>
          <w:szCs w:val="21"/>
          <w:highlight w:val="none"/>
          <w:u w:val="single"/>
        </w:rPr>
        <w:t xml:space="preserve">            </w:t>
      </w:r>
    </w:p>
    <w:p w14:paraId="2D79173C">
      <w:pPr>
        <w:pStyle w:val="5"/>
        <w:spacing w:line="360" w:lineRule="exact"/>
        <w:ind w:firstLine="480"/>
        <w:rPr>
          <w:color w:val="auto"/>
          <w:sz w:val="21"/>
          <w:szCs w:val="21"/>
          <w:highlight w:val="none"/>
        </w:rPr>
      </w:pPr>
      <w:r>
        <w:rPr>
          <w:rFonts w:hint="eastAsia"/>
          <w:color w:val="auto"/>
          <w:sz w:val="21"/>
          <w:szCs w:val="21"/>
          <w:highlight w:val="none"/>
        </w:rPr>
        <w:t>主要专业技术能力有</w:t>
      </w:r>
      <w:r>
        <w:rPr>
          <w:color w:val="auto"/>
          <w:sz w:val="21"/>
          <w:szCs w:val="21"/>
          <w:highlight w:val="none"/>
          <w:u w:val="single"/>
        </w:rPr>
        <w:t xml:space="preserve">                 </w:t>
      </w:r>
    </w:p>
    <w:p w14:paraId="5780ADA9">
      <w:pPr>
        <w:pStyle w:val="5"/>
        <w:spacing w:line="360" w:lineRule="exact"/>
        <w:ind w:firstLine="480"/>
        <w:rPr>
          <w:color w:val="auto"/>
          <w:sz w:val="21"/>
          <w:szCs w:val="21"/>
          <w:highlight w:val="none"/>
        </w:rPr>
      </w:pPr>
      <w:r>
        <w:rPr>
          <w:rFonts w:hint="eastAsia"/>
          <w:color w:val="auto"/>
          <w:sz w:val="21"/>
          <w:szCs w:val="21"/>
          <w:highlight w:val="none"/>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color w:val="auto"/>
          <w:sz w:val="21"/>
          <w:szCs w:val="21"/>
          <w:highlight w:val="none"/>
        </w:rPr>
        <w:t>3</w:t>
      </w:r>
      <w:r>
        <w:rPr>
          <w:rFonts w:hint="eastAsia"/>
          <w:color w:val="auto"/>
          <w:sz w:val="21"/>
          <w:szCs w:val="21"/>
          <w:highlight w:val="none"/>
        </w:rPr>
        <w:t>年内因违法经营被禁止在一定期限内参加采购活动，期限届满的，可以参加采购活动。）</w:t>
      </w:r>
    </w:p>
    <w:p w14:paraId="3FD87481">
      <w:pPr>
        <w:pStyle w:val="5"/>
        <w:spacing w:line="360" w:lineRule="exact"/>
        <w:ind w:firstLine="480"/>
        <w:rPr>
          <w:color w:val="auto"/>
          <w:sz w:val="21"/>
          <w:szCs w:val="21"/>
          <w:highlight w:val="none"/>
        </w:rPr>
      </w:pPr>
      <w:r>
        <w:rPr>
          <w:rFonts w:hint="eastAsia"/>
          <w:color w:val="auto"/>
          <w:sz w:val="21"/>
          <w:szCs w:val="21"/>
          <w:highlight w:val="none"/>
        </w:rPr>
        <w:t>七、我单位具备法律、行政法规规定的其他条件。</w:t>
      </w:r>
    </w:p>
    <w:p w14:paraId="08E4B51D">
      <w:pPr>
        <w:pStyle w:val="5"/>
        <w:spacing w:line="360" w:lineRule="exact"/>
        <w:ind w:firstLine="480"/>
        <w:rPr>
          <w:color w:val="auto"/>
          <w:sz w:val="21"/>
          <w:szCs w:val="21"/>
          <w:highlight w:val="none"/>
        </w:rPr>
      </w:pPr>
      <w:r>
        <w:rPr>
          <w:rFonts w:hint="eastAsia"/>
          <w:color w:val="auto"/>
          <w:sz w:val="21"/>
          <w:szCs w:val="21"/>
          <w:highlight w:val="none"/>
        </w:rPr>
        <w:t>八、与我单位存在“单位负责人为同一人或者存在直接控股、管理关系”的其他单位信息如下（如无此情形的，填写“无”）：</w:t>
      </w:r>
    </w:p>
    <w:p w14:paraId="7A7CCC90">
      <w:pPr>
        <w:pStyle w:val="5"/>
        <w:spacing w:line="360" w:lineRule="exact"/>
        <w:ind w:firstLine="480"/>
        <w:rPr>
          <w:color w:val="auto"/>
          <w:sz w:val="21"/>
          <w:szCs w:val="21"/>
          <w:highlight w:val="none"/>
        </w:rPr>
      </w:pPr>
      <w:r>
        <w:rPr>
          <w:color w:val="auto"/>
          <w:sz w:val="21"/>
          <w:szCs w:val="21"/>
          <w:highlight w:val="none"/>
        </w:rPr>
        <w:t>1</w:t>
      </w:r>
      <w:r>
        <w:rPr>
          <w:rFonts w:hint="eastAsia"/>
          <w:color w:val="auto"/>
          <w:sz w:val="21"/>
          <w:szCs w:val="21"/>
          <w:highlight w:val="none"/>
        </w:rPr>
        <w:t>.与我单位的法定代表人（单位负责人）为同一人的其他单位如下：</w:t>
      </w:r>
      <w:r>
        <w:rPr>
          <w:color w:val="auto"/>
          <w:sz w:val="21"/>
          <w:szCs w:val="21"/>
          <w:highlight w:val="none"/>
          <w:u w:val="single"/>
        </w:rPr>
        <w:t xml:space="preserve">     </w:t>
      </w:r>
      <w:r>
        <w:rPr>
          <w:color w:val="auto"/>
          <w:sz w:val="21"/>
          <w:szCs w:val="21"/>
          <w:highlight w:val="none"/>
        </w:rPr>
        <w:t xml:space="preserve">          </w:t>
      </w:r>
    </w:p>
    <w:p w14:paraId="48C7A217">
      <w:pPr>
        <w:pStyle w:val="5"/>
        <w:spacing w:line="360" w:lineRule="exact"/>
        <w:ind w:firstLine="480"/>
        <w:rPr>
          <w:color w:val="auto"/>
          <w:sz w:val="21"/>
          <w:szCs w:val="21"/>
          <w:highlight w:val="none"/>
        </w:rPr>
      </w:pPr>
      <w:r>
        <w:rPr>
          <w:color w:val="auto"/>
          <w:sz w:val="21"/>
          <w:szCs w:val="21"/>
          <w:highlight w:val="none"/>
        </w:rPr>
        <w:t>2</w:t>
      </w:r>
      <w:r>
        <w:rPr>
          <w:rFonts w:hint="eastAsia"/>
          <w:color w:val="auto"/>
          <w:sz w:val="21"/>
          <w:szCs w:val="21"/>
          <w:highlight w:val="none"/>
        </w:rPr>
        <w:t>.我单位直接控股的其他单位如下：</w:t>
      </w:r>
      <w:r>
        <w:rPr>
          <w:color w:val="auto"/>
          <w:sz w:val="21"/>
          <w:szCs w:val="21"/>
          <w:highlight w:val="none"/>
          <w:u w:val="single"/>
        </w:rPr>
        <w:t xml:space="preserve">                    </w:t>
      </w:r>
      <w:r>
        <w:rPr>
          <w:color w:val="auto"/>
          <w:sz w:val="21"/>
          <w:szCs w:val="21"/>
          <w:highlight w:val="none"/>
        </w:rPr>
        <w:t xml:space="preserve"> </w:t>
      </w:r>
    </w:p>
    <w:p w14:paraId="3A421961">
      <w:pPr>
        <w:pStyle w:val="5"/>
        <w:spacing w:line="360" w:lineRule="exact"/>
        <w:ind w:firstLine="480"/>
        <w:rPr>
          <w:color w:val="auto"/>
          <w:sz w:val="21"/>
          <w:szCs w:val="21"/>
          <w:highlight w:val="none"/>
        </w:rPr>
      </w:pPr>
      <w:r>
        <w:rPr>
          <w:color w:val="auto"/>
          <w:sz w:val="21"/>
          <w:szCs w:val="21"/>
          <w:highlight w:val="none"/>
        </w:rPr>
        <w:t>3</w:t>
      </w:r>
      <w:r>
        <w:rPr>
          <w:rFonts w:hint="eastAsia"/>
          <w:color w:val="auto"/>
          <w:sz w:val="21"/>
          <w:szCs w:val="21"/>
          <w:highlight w:val="none"/>
        </w:rPr>
        <w:t>.与我单位存在管理关系的其他单位如下：</w:t>
      </w:r>
      <w:r>
        <w:rPr>
          <w:color w:val="auto"/>
          <w:sz w:val="21"/>
          <w:szCs w:val="21"/>
          <w:highlight w:val="none"/>
          <w:u w:val="single"/>
        </w:rPr>
        <w:t xml:space="preserve">              </w:t>
      </w:r>
      <w:r>
        <w:rPr>
          <w:color w:val="auto"/>
          <w:sz w:val="21"/>
          <w:szCs w:val="21"/>
          <w:highlight w:val="none"/>
        </w:rPr>
        <w:t xml:space="preserve"> </w:t>
      </w:r>
    </w:p>
    <w:p w14:paraId="2646B27B">
      <w:pPr>
        <w:pStyle w:val="5"/>
        <w:spacing w:line="360" w:lineRule="exact"/>
        <w:ind w:firstLine="480"/>
        <w:rPr>
          <w:color w:val="auto"/>
          <w:sz w:val="21"/>
          <w:szCs w:val="21"/>
          <w:highlight w:val="none"/>
        </w:rPr>
      </w:pPr>
      <w:r>
        <w:rPr>
          <w:rFonts w:hint="eastAsia"/>
          <w:color w:val="auto"/>
          <w:sz w:val="21"/>
          <w:szCs w:val="21"/>
          <w:highlight w:val="none"/>
        </w:rPr>
        <w:t>九、我单位不属于为本项目提供整体设计、规范编制或者项目管理、监理、检测等服务的供应商。</w:t>
      </w:r>
    </w:p>
    <w:p w14:paraId="70EE5377">
      <w:pPr>
        <w:pStyle w:val="5"/>
        <w:spacing w:line="360" w:lineRule="exact"/>
        <w:ind w:firstLine="480"/>
        <w:rPr>
          <w:color w:val="auto"/>
          <w:sz w:val="21"/>
          <w:szCs w:val="21"/>
          <w:highlight w:val="none"/>
        </w:rPr>
      </w:pPr>
      <w:r>
        <w:rPr>
          <w:rFonts w:hint="eastAsia"/>
          <w:color w:val="auto"/>
          <w:sz w:val="21"/>
          <w:szCs w:val="21"/>
          <w:highlight w:val="none"/>
        </w:rPr>
        <w:t>十、我单位无以下不良信用记录情形：</w:t>
      </w:r>
    </w:p>
    <w:p w14:paraId="628DC275">
      <w:pPr>
        <w:pStyle w:val="5"/>
        <w:spacing w:line="360" w:lineRule="exact"/>
        <w:ind w:firstLine="480"/>
        <w:rPr>
          <w:color w:val="auto"/>
          <w:sz w:val="21"/>
          <w:szCs w:val="21"/>
          <w:highlight w:val="none"/>
        </w:rPr>
      </w:pPr>
      <w:r>
        <w:rPr>
          <w:color w:val="auto"/>
          <w:sz w:val="21"/>
          <w:szCs w:val="21"/>
          <w:highlight w:val="none"/>
        </w:rPr>
        <w:t>1</w:t>
      </w:r>
      <w:r>
        <w:rPr>
          <w:rFonts w:hint="eastAsia"/>
          <w:color w:val="auto"/>
          <w:sz w:val="21"/>
          <w:szCs w:val="21"/>
          <w:highlight w:val="none"/>
        </w:rPr>
        <w:t>.在“信用中国”网站被列入失信被执行人和重大税收违法案件当事人名单。</w:t>
      </w:r>
    </w:p>
    <w:p w14:paraId="4028C1EF">
      <w:pPr>
        <w:pStyle w:val="5"/>
        <w:spacing w:line="360" w:lineRule="exact"/>
        <w:ind w:firstLine="480"/>
        <w:rPr>
          <w:color w:val="auto"/>
          <w:sz w:val="21"/>
          <w:szCs w:val="21"/>
          <w:highlight w:val="none"/>
        </w:rPr>
      </w:pPr>
      <w:r>
        <w:rPr>
          <w:rFonts w:hint="eastAsia"/>
          <w:color w:val="auto"/>
          <w:sz w:val="21"/>
          <w:szCs w:val="21"/>
          <w:highlight w:val="none"/>
        </w:rPr>
        <w:t>我单位保证上述声明的事项都是真实的，如有虚假，我单位愿意承担相应的法律责任，并承担因此所造成的一切损失。</w:t>
      </w:r>
    </w:p>
    <w:p w14:paraId="2547A7B7">
      <w:pPr>
        <w:pStyle w:val="56"/>
        <w:spacing w:line="360" w:lineRule="exact"/>
        <w:ind w:firstLine="420" w:firstLineChars="200"/>
        <w:rPr>
          <w:rFonts w:cs="宋体"/>
          <w:color w:val="auto"/>
          <w:sz w:val="21"/>
          <w:szCs w:val="21"/>
          <w:highlight w:val="none"/>
        </w:rPr>
      </w:pPr>
      <w:r>
        <w:rPr>
          <w:rFonts w:hint="eastAsia" w:cs="宋体"/>
          <w:color w:val="auto"/>
          <w:sz w:val="21"/>
          <w:szCs w:val="21"/>
          <w:highlight w:val="none"/>
        </w:rPr>
        <w:t xml:space="preserve">投标人法定代表人或代理人（签字或盖章）：       </w:t>
      </w:r>
    </w:p>
    <w:p w14:paraId="78C87953">
      <w:pPr>
        <w:pStyle w:val="56"/>
        <w:spacing w:line="360" w:lineRule="exact"/>
        <w:ind w:firstLine="420" w:firstLineChars="200"/>
        <w:rPr>
          <w:rFonts w:cs="宋体"/>
          <w:color w:val="auto"/>
          <w:sz w:val="21"/>
          <w:szCs w:val="21"/>
          <w:highlight w:val="none"/>
        </w:rPr>
      </w:pPr>
      <w:r>
        <w:rPr>
          <w:rFonts w:hint="eastAsia" w:cs="宋体"/>
          <w:color w:val="auto"/>
          <w:sz w:val="21"/>
          <w:szCs w:val="21"/>
          <w:highlight w:val="none"/>
        </w:rPr>
        <w:t xml:space="preserve">投标人名称（公章）：             </w:t>
      </w:r>
    </w:p>
    <w:p w14:paraId="732CA154">
      <w:pPr>
        <w:pStyle w:val="56"/>
        <w:spacing w:line="360" w:lineRule="exact"/>
        <w:ind w:firstLine="420" w:firstLineChars="200"/>
        <w:rPr>
          <w:rFonts w:cs="宋体"/>
          <w:color w:val="auto"/>
          <w:sz w:val="21"/>
          <w:szCs w:val="21"/>
          <w:highlight w:val="none"/>
        </w:rPr>
      </w:pPr>
      <w:r>
        <w:rPr>
          <w:rFonts w:hint="eastAsia" w:cs="宋体"/>
          <w:color w:val="auto"/>
          <w:sz w:val="21"/>
          <w:szCs w:val="21"/>
          <w:highlight w:val="none"/>
        </w:rPr>
        <w:t>日    期：     年    月    日</w:t>
      </w:r>
    </w:p>
    <w:p w14:paraId="36576A0E">
      <w:pPr>
        <w:outlineLvl w:val="1"/>
        <w:rPr>
          <w:rFonts w:ascii="宋体" w:hAnsi="宋体" w:cs="宋体"/>
          <w:b/>
          <w:color w:val="auto"/>
          <w:kern w:val="0"/>
          <w:szCs w:val="21"/>
          <w:highlight w:val="none"/>
        </w:rPr>
      </w:pPr>
      <w:r>
        <w:rPr>
          <w:rFonts w:hint="eastAsia" w:ascii="宋体" w:hAnsi="宋体" w:cs="宋体"/>
          <w:b/>
          <w:color w:val="auto"/>
          <w:kern w:val="0"/>
          <w:szCs w:val="21"/>
          <w:highlight w:val="none"/>
        </w:rPr>
        <w:t>附件：2.响应函</w:t>
      </w:r>
    </w:p>
    <w:p w14:paraId="409FDAEC">
      <w:pPr>
        <w:pStyle w:val="11"/>
        <w:snapToGrid w:val="0"/>
        <w:spacing w:line="360" w:lineRule="auto"/>
        <w:jc w:val="center"/>
        <w:rPr>
          <w:rFonts w:asciiTheme="minorEastAsia" w:hAnsiTheme="minorEastAsia"/>
          <w:bCs/>
          <w:color w:val="auto"/>
          <w:sz w:val="21"/>
          <w:szCs w:val="21"/>
          <w:highlight w:val="none"/>
        </w:rPr>
      </w:pPr>
      <w:r>
        <w:rPr>
          <w:rFonts w:hint="eastAsia" w:asciiTheme="minorEastAsia" w:hAnsiTheme="minorEastAsia"/>
          <w:b/>
          <w:bCs/>
          <w:color w:val="auto"/>
          <w:sz w:val="28"/>
          <w:szCs w:val="28"/>
          <w:highlight w:val="none"/>
        </w:rPr>
        <w:t>响应函</w:t>
      </w:r>
    </w:p>
    <w:p w14:paraId="1DC354AB">
      <w:pPr>
        <w:spacing w:line="36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常州市公安局</w:t>
      </w:r>
      <w:r>
        <w:rPr>
          <w:rFonts w:hint="eastAsia" w:asciiTheme="minorEastAsia" w:hAnsiTheme="minorEastAsia" w:eastAsiaTheme="minorEastAsia"/>
          <w:color w:val="auto"/>
          <w:highlight w:val="none"/>
        </w:rPr>
        <w:t>、常州市城投建设工程招标有限公司 ：</w:t>
      </w:r>
    </w:p>
    <w:p w14:paraId="34F3CD84">
      <w:pPr>
        <w:spacing w:line="36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我单位收到贵单位“       号”询价</w:t>
      </w:r>
      <w:r>
        <w:rPr>
          <w:rFonts w:asciiTheme="minorEastAsia" w:hAnsiTheme="minorEastAsia" w:eastAsiaTheme="minorEastAsia"/>
          <w:color w:val="auto"/>
          <w:highlight w:val="none"/>
        </w:rPr>
        <w:t>通知书</w:t>
      </w:r>
      <w:r>
        <w:rPr>
          <w:rFonts w:hint="eastAsia" w:asciiTheme="minorEastAsia" w:hAnsiTheme="minorEastAsia" w:eastAsiaTheme="minorEastAsia"/>
          <w:color w:val="auto"/>
          <w:highlight w:val="none"/>
        </w:rPr>
        <w:t>后，经仔细阅读和研究，我单位决定参加本项目的询价活动。为此，我方郑重声明以下诸点，并负法律责任。</w:t>
      </w:r>
    </w:p>
    <w:p w14:paraId="030BCAF9">
      <w:pPr>
        <w:pStyle w:val="5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rPr>
        <w:t>我单位愿意</w:t>
      </w:r>
      <w:r>
        <w:rPr>
          <w:rFonts w:hint="eastAsia" w:asciiTheme="minorEastAsia" w:hAnsiTheme="minorEastAsia" w:eastAsiaTheme="minorEastAsia"/>
          <w:color w:val="auto"/>
          <w:sz w:val="21"/>
          <w:szCs w:val="21"/>
          <w:highlight w:val="none"/>
        </w:rPr>
        <w:t>遵守贵单位有关采购的各项规定，</w:t>
      </w:r>
      <w:r>
        <w:rPr>
          <w:rFonts w:hint="eastAsia" w:cs="宋体" w:asciiTheme="minorEastAsia" w:hAnsiTheme="minorEastAsia" w:eastAsiaTheme="minorEastAsia"/>
          <w:color w:val="auto"/>
          <w:sz w:val="21"/>
          <w:szCs w:val="21"/>
          <w:highlight w:val="none"/>
        </w:rPr>
        <w:t>提供询价通知书中要求的所有资料，并保证完全真实准确，若有虚假和违背，我单位愿意承担由此而产生的一切后果。</w:t>
      </w:r>
    </w:p>
    <w:p w14:paraId="793046D4">
      <w:pPr>
        <w:pStyle w:val="56"/>
        <w:spacing w:line="360" w:lineRule="exact"/>
        <w:ind w:firstLine="420"/>
        <w:jc w:val="left"/>
        <w:rPr>
          <w:rFonts w:cs="宋体" w:asciiTheme="minorEastAsia" w:hAnsiTheme="minorEastAsia" w:eastAsiaTheme="minorEastAsia"/>
          <w:color w:val="auto"/>
          <w:sz w:val="21"/>
          <w:szCs w:val="21"/>
          <w:highlight w:val="none"/>
        </w:rPr>
      </w:pPr>
      <w:r>
        <w:rPr>
          <w:rFonts w:hint="eastAsia"/>
          <w:color w:val="auto"/>
          <w:sz w:val="21"/>
          <w:szCs w:val="21"/>
          <w:highlight w:val="none"/>
        </w:rPr>
        <w:t>2.</w:t>
      </w:r>
      <w:r>
        <w:rPr>
          <w:rFonts w:hint="eastAsia" w:cs="宋体" w:asciiTheme="minorEastAsia" w:hAnsiTheme="minorEastAsia" w:eastAsiaTheme="minorEastAsia"/>
          <w:color w:val="auto"/>
          <w:sz w:val="21"/>
          <w:szCs w:val="21"/>
          <w:highlight w:val="none"/>
        </w:rPr>
        <w:t>我单位</w:t>
      </w:r>
      <w:r>
        <w:rPr>
          <w:rFonts w:hint="eastAsia"/>
          <w:color w:val="auto"/>
          <w:sz w:val="21"/>
          <w:szCs w:val="21"/>
          <w:highlight w:val="none"/>
        </w:rPr>
        <w:t>承诺财务状况良好，依法缴纳税收和社会保障资金，具备履行合同所必需的设备和专业技术能力，参加采购活动前3年内在经营活动中没有重大违法记录。</w:t>
      </w:r>
    </w:p>
    <w:p w14:paraId="6077185A">
      <w:pPr>
        <w:adjustRightInd w:val="0"/>
        <w:snapToGrid w:val="0"/>
        <w:spacing w:line="360" w:lineRule="exact"/>
        <w:ind w:firstLine="422" w:firstLineChars="20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3.我单位承诺保证采购人在使用该货物或其任何一部分时不受第三方提出侵犯其专利权</w:t>
      </w:r>
      <w:r>
        <w:rPr>
          <w:rFonts w:hint="eastAsia"/>
          <w:color w:val="auto"/>
          <w:highlight w:val="none"/>
          <w:shd w:val="clear" w:color="auto" w:fill="FFFFFF"/>
        </w:rPr>
        <w:t>、</w:t>
      </w:r>
      <w:r>
        <w:rPr>
          <w:color w:val="auto"/>
          <w:highlight w:val="none"/>
          <w:shd w:val="clear" w:color="auto" w:fill="FFFFFF"/>
        </w:rPr>
        <w:t>著作</w:t>
      </w:r>
      <w:r>
        <w:rPr>
          <w:rFonts w:hint="eastAsia"/>
          <w:color w:val="auto"/>
          <w:highlight w:val="none"/>
          <w:shd w:val="clear" w:color="auto" w:fill="FFFFFF"/>
        </w:rPr>
        <w:t>权、商标权等知识产权的起诉。</w:t>
      </w:r>
      <w:r>
        <w:rPr>
          <w:rFonts w:hint="eastAsia" w:asciiTheme="minorEastAsia" w:hAnsiTheme="minorEastAsia" w:eastAsiaTheme="minorEastAsia"/>
          <w:color w:val="auto"/>
          <w:szCs w:val="21"/>
          <w:highlight w:val="none"/>
        </w:rPr>
        <w:t>一旦出现侵权、索赔或诉讼，我单位承担全部责任。</w:t>
      </w:r>
    </w:p>
    <w:p w14:paraId="78716181">
      <w:pPr>
        <w:pStyle w:val="56"/>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我单位承诺该询价响应文件在询价开始后的全过程中保持有效，不作任何更改和变动。并同意按询价通知书中的规定，本询价响应文件的有效期限为投标开始后</w:t>
      </w:r>
      <w:r>
        <w:rPr>
          <w:rFonts w:cs="宋体" w:asciiTheme="minorEastAsia" w:hAnsiTheme="minorEastAsia" w:eastAsiaTheme="minorEastAsia"/>
          <w:color w:val="auto"/>
          <w:sz w:val="21"/>
          <w:szCs w:val="21"/>
          <w:highlight w:val="none"/>
          <w:u w:val="single"/>
        </w:rPr>
        <w:t>6</w:t>
      </w:r>
      <w:r>
        <w:rPr>
          <w:rFonts w:hint="eastAsia" w:cs="宋体" w:asciiTheme="minorEastAsia" w:hAnsiTheme="minorEastAsia" w:eastAsiaTheme="minorEastAsia"/>
          <w:color w:val="auto"/>
          <w:sz w:val="21"/>
          <w:szCs w:val="21"/>
          <w:highlight w:val="none"/>
          <w:u w:val="single"/>
        </w:rPr>
        <w:t>0</w:t>
      </w:r>
      <w:r>
        <w:rPr>
          <w:rFonts w:hint="eastAsia" w:cs="宋体" w:asciiTheme="minorEastAsia" w:hAnsiTheme="minorEastAsia" w:eastAsiaTheme="minorEastAsia"/>
          <w:color w:val="auto"/>
          <w:sz w:val="21"/>
          <w:szCs w:val="21"/>
          <w:highlight w:val="none"/>
        </w:rPr>
        <w:t>天。</w:t>
      </w:r>
    </w:p>
    <w:p w14:paraId="4681D3DC">
      <w:pPr>
        <w:pStyle w:val="56"/>
        <w:spacing w:line="360" w:lineRule="exact"/>
        <w:ind w:firstLine="420"/>
        <w:jc w:val="left"/>
        <w:rPr>
          <w:rFonts w:hint="eastAsia" w:ascii="宋体" w:eastAsia="宋体" w:cs="Arial"/>
          <w:color w:val="auto"/>
          <w:szCs w:val="21"/>
          <w:highlight w:val="none"/>
          <w:lang w:eastAsia="zh-CN"/>
        </w:rPr>
      </w:pPr>
      <w:r>
        <w:rPr>
          <w:rFonts w:hint="eastAsia" w:asciiTheme="minorEastAsia" w:hAnsiTheme="minorEastAsia" w:eastAsiaTheme="minorEastAsia"/>
          <w:color w:val="auto"/>
          <w:sz w:val="21"/>
          <w:szCs w:val="21"/>
          <w:highlight w:val="none"/>
        </w:rPr>
        <w:t>5.</w:t>
      </w:r>
      <w:r>
        <w:rPr>
          <w:rFonts w:hint="eastAsia" w:cs="宋体" w:asciiTheme="minorEastAsia" w:hAnsiTheme="minorEastAsia" w:eastAsiaTheme="minorEastAsia"/>
          <w:color w:val="auto"/>
          <w:sz w:val="21"/>
          <w:szCs w:val="21"/>
          <w:highlight w:val="none"/>
        </w:rPr>
        <w:t>我单位愿意</w:t>
      </w:r>
      <w:r>
        <w:rPr>
          <w:rFonts w:hint="eastAsia" w:asciiTheme="minorEastAsia" w:hAnsiTheme="minorEastAsia" w:eastAsiaTheme="minorEastAsia"/>
          <w:color w:val="auto"/>
          <w:sz w:val="21"/>
          <w:szCs w:val="21"/>
          <w:highlight w:val="none"/>
        </w:rPr>
        <w:t>按询价通知书规定的各项要求，向采购人提供所需货物与服务。</w:t>
      </w:r>
      <w:r>
        <w:rPr>
          <w:rFonts w:hint="eastAsia" w:cs="Times New Roman" w:asciiTheme="minorEastAsia" w:hAnsiTheme="minorEastAsia" w:eastAsiaTheme="minorEastAsia"/>
          <w:color w:val="auto"/>
          <w:kern w:val="2"/>
          <w:sz w:val="21"/>
          <w:szCs w:val="21"/>
          <w:highlight w:val="none"/>
          <w:lang w:val="en-US" w:eastAsia="zh-CN" w:bidi="ar-SA"/>
        </w:rPr>
        <w:t>询价报价包括但不限于询价通知书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采购人不再支付其他任何费用。</w:t>
      </w:r>
    </w:p>
    <w:p w14:paraId="093810C6">
      <w:pPr>
        <w:pStyle w:val="5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6.我单位认为贵单位有权决定成交供应商，还认为贵单位有权接受或拒绝所有的供应商。</w:t>
      </w:r>
    </w:p>
    <w:p w14:paraId="7FF93F3A">
      <w:pPr>
        <w:pStyle w:val="56"/>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w:t>
      </w:r>
      <w:r>
        <w:rPr>
          <w:rFonts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我单位愿意遵守询价通知书中所列的收费标准</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rPr>
        <w:t>按询价通知书</w:t>
      </w:r>
      <w:r>
        <w:rPr>
          <w:rFonts w:hint="eastAsia" w:cs="宋体" w:asciiTheme="minorEastAsia" w:hAnsiTheme="minorEastAsia" w:eastAsiaTheme="minorEastAsia"/>
          <w:color w:val="auto"/>
          <w:sz w:val="21"/>
          <w:szCs w:val="21"/>
          <w:highlight w:val="none"/>
        </w:rPr>
        <w:t>的规定支付成交服务费。</w:t>
      </w:r>
    </w:p>
    <w:p w14:paraId="54AF366E">
      <w:pPr>
        <w:pStyle w:val="56"/>
        <w:spacing w:line="360" w:lineRule="exact"/>
        <w:ind w:firstLine="420"/>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8.如果我单位的询价响应文件被接受，</w:t>
      </w:r>
      <w:r>
        <w:rPr>
          <w:rFonts w:hint="eastAsia" w:asciiTheme="minorEastAsia" w:hAnsiTheme="minorEastAsia" w:eastAsiaTheme="minorEastAsia"/>
          <w:color w:val="auto"/>
          <w:sz w:val="21"/>
          <w:szCs w:val="21"/>
          <w:highlight w:val="none"/>
        </w:rPr>
        <w:t>愿按《中华人民共和国民法典》履行自己的全部责任，</w:t>
      </w:r>
      <w:r>
        <w:rPr>
          <w:rFonts w:asciiTheme="minorEastAsia" w:hAnsiTheme="minorEastAsia" w:eastAsiaTheme="minorEastAsia"/>
          <w:color w:val="auto"/>
          <w:sz w:val="21"/>
          <w:szCs w:val="21"/>
          <w:highlight w:val="none"/>
        </w:rPr>
        <w:t>同时</w:t>
      </w:r>
      <w:r>
        <w:rPr>
          <w:rFonts w:hint="eastAsia" w:cs="宋体" w:asciiTheme="minorEastAsia" w:hAnsiTheme="minorEastAsia" w:eastAsiaTheme="minorEastAsia"/>
          <w:color w:val="auto"/>
          <w:sz w:val="21"/>
          <w:szCs w:val="21"/>
          <w:highlight w:val="none"/>
        </w:rPr>
        <w:t>严格履行询价通知书中规定的每一项要求，按期、按质、按量履行合同的义务。</w:t>
      </w:r>
    </w:p>
    <w:p w14:paraId="122F0CDE">
      <w:pPr>
        <w:pStyle w:val="56"/>
        <w:spacing w:line="360" w:lineRule="exact"/>
        <w:ind w:firstLine="420"/>
        <w:rPr>
          <w:rFonts w:cs="宋体"/>
          <w:color w:val="auto"/>
          <w:sz w:val="21"/>
          <w:szCs w:val="21"/>
          <w:highlight w:val="none"/>
        </w:rPr>
      </w:pPr>
      <w:r>
        <w:rPr>
          <w:rFonts w:hint="eastAsia" w:cs="宋体"/>
          <w:color w:val="auto"/>
          <w:sz w:val="21"/>
          <w:szCs w:val="21"/>
          <w:highlight w:val="none"/>
        </w:rPr>
        <w:t>9.与本次询价有关的正式通讯地址为：</w:t>
      </w:r>
    </w:p>
    <w:p w14:paraId="7A4EFA1E">
      <w:pPr>
        <w:spacing w:line="360" w:lineRule="exact"/>
        <w:ind w:firstLine="420" w:firstLineChars="200"/>
        <w:rPr>
          <w:rFonts w:asciiTheme="minorEastAsia" w:hAnsiTheme="minorEastAsia" w:eastAsiaTheme="minorEastAsia"/>
          <w:color w:val="auto"/>
          <w:highlight w:val="none"/>
        </w:rPr>
      </w:pPr>
    </w:p>
    <w:p w14:paraId="79642451">
      <w:pPr>
        <w:pStyle w:val="11"/>
        <w:snapToGrid w:val="0"/>
        <w:spacing w:line="360" w:lineRule="auto"/>
        <w:ind w:firstLine="420"/>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供应商（公章）：</w:t>
      </w:r>
    </w:p>
    <w:p w14:paraId="4D6BFB07">
      <w:pPr>
        <w:pStyle w:val="11"/>
        <w:snapToGrid w:val="0"/>
        <w:spacing w:line="360" w:lineRule="auto"/>
        <w:ind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法定代表人或其委托代理人（签字）：</w:t>
      </w:r>
    </w:p>
    <w:p w14:paraId="5ACF6201">
      <w:pPr>
        <w:pStyle w:val="11"/>
        <w:snapToGrid w:val="0"/>
        <w:spacing w:line="360" w:lineRule="auto"/>
        <w:ind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14:paraId="4AA4C117">
      <w:pPr>
        <w:pStyle w:val="11"/>
        <w:snapToGrid w:val="0"/>
        <w:spacing w:line="360" w:lineRule="auto"/>
        <w:ind w:firstLine="420"/>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电话：    传真：</w:t>
      </w:r>
    </w:p>
    <w:p w14:paraId="7E3E3A42">
      <w:pPr>
        <w:pStyle w:val="11"/>
        <w:snapToGrid w:val="0"/>
        <w:spacing w:line="360" w:lineRule="auto"/>
        <w:ind w:firstLine="420"/>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邮政编码：</w:t>
      </w:r>
    </w:p>
    <w:p w14:paraId="5A5B86AC">
      <w:pPr>
        <w:pStyle w:val="11"/>
        <w:snapToGrid w:val="0"/>
        <w:spacing w:line="360" w:lineRule="auto"/>
        <w:ind w:firstLine="420"/>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开户名称：</w:t>
      </w:r>
    </w:p>
    <w:p w14:paraId="0C396C5E">
      <w:pPr>
        <w:pStyle w:val="11"/>
        <w:snapToGrid w:val="0"/>
        <w:spacing w:line="360" w:lineRule="auto"/>
        <w:ind w:firstLine="420"/>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开户银行：</w:t>
      </w:r>
    </w:p>
    <w:p w14:paraId="5E76917B">
      <w:pPr>
        <w:pStyle w:val="11"/>
        <w:snapToGrid w:val="0"/>
        <w:spacing w:line="360" w:lineRule="auto"/>
        <w:ind w:firstLine="420"/>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银行账号：</w:t>
      </w:r>
    </w:p>
    <w:p w14:paraId="7D943726">
      <w:pPr>
        <w:pStyle w:val="11"/>
        <w:snapToGrid w:val="0"/>
        <w:spacing w:line="360" w:lineRule="auto"/>
        <w:ind w:firstLine="420"/>
        <w:rPr>
          <w:rFonts w:hint="eastAsia" w:asciiTheme="minorEastAsia" w:hAnsiTheme="minorEastAsia"/>
          <w:bCs/>
          <w:color w:val="auto"/>
          <w:sz w:val="21"/>
          <w:szCs w:val="21"/>
          <w:highlight w:val="none"/>
        </w:rPr>
      </w:pPr>
      <w:r>
        <w:rPr>
          <w:rFonts w:hint="eastAsia" w:asciiTheme="minorEastAsia" w:hAnsiTheme="minorEastAsia"/>
          <w:color w:val="auto"/>
          <w:sz w:val="21"/>
          <w:szCs w:val="21"/>
          <w:highlight w:val="none"/>
        </w:rPr>
        <w:t>日期</w:t>
      </w:r>
      <w:r>
        <w:rPr>
          <w:rFonts w:asciiTheme="minorEastAsia" w:hAnsiTheme="minorEastAsia"/>
          <w:color w:val="auto"/>
          <w:sz w:val="21"/>
          <w:szCs w:val="21"/>
          <w:highlight w:val="none"/>
        </w:rPr>
        <w:t>：</w:t>
      </w:r>
      <w:r>
        <w:rPr>
          <w:rFonts w:hint="eastAsia" w:asciiTheme="minorEastAsia" w:hAnsiTheme="minorEastAsia"/>
          <w:color w:val="auto"/>
          <w:sz w:val="21"/>
          <w:szCs w:val="21"/>
          <w:highlight w:val="none"/>
        </w:rPr>
        <w:t xml:space="preserve">     </w:t>
      </w:r>
      <w:r>
        <w:rPr>
          <w:rFonts w:hint="eastAsia" w:asciiTheme="minorEastAsia" w:hAnsiTheme="minorEastAsia"/>
          <w:bCs/>
          <w:color w:val="auto"/>
          <w:sz w:val="21"/>
          <w:szCs w:val="21"/>
          <w:highlight w:val="none"/>
        </w:rPr>
        <w:t>年   月   日</w:t>
      </w:r>
    </w:p>
    <w:p w14:paraId="790A4E3B">
      <w:pPr>
        <w:rPr>
          <w:rFonts w:hint="eastAsia" w:asciiTheme="minorEastAsia" w:hAnsiTheme="minorEastAsia"/>
          <w:bCs/>
          <w:color w:val="auto"/>
          <w:sz w:val="21"/>
          <w:szCs w:val="21"/>
          <w:highlight w:val="none"/>
        </w:rPr>
      </w:pPr>
      <w:r>
        <w:rPr>
          <w:rFonts w:hint="eastAsia" w:asciiTheme="minorEastAsia" w:hAnsiTheme="minorEastAsia"/>
          <w:bCs/>
          <w:color w:val="auto"/>
          <w:sz w:val="21"/>
          <w:szCs w:val="21"/>
          <w:highlight w:val="none"/>
        </w:rPr>
        <w:br w:type="page"/>
      </w:r>
    </w:p>
    <w:p w14:paraId="694338EC">
      <w:pPr>
        <w:pStyle w:val="11"/>
        <w:snapToGrid w:val="0"/>
        <w:spacing w:line="360" w:lineRule="auto"/>
        <w:ind w:firstLine="420"/>
        <w:rPr>
          <w:rFonts w:cs="宋体"/>
          <w:b/>
          <w:color w:val="auto"/>
          <w:szCs w:val="21"/>
          <w:highlight w:val="none"/>
        </w:rPr>
      </w:pPr>
      <w:r>
        <w:rPr>
          <w:rFonts w:hint="eastAsia" w:ascii="宋体" w:hAnsi="宋体" w:cs="宋体"/>
          <w:b/>
          <w:color w:val="auto"/>
          <w:kern w:val="0"/>
          <w:szCs w:val="21"/>
          <w:highlight w:val="none"/>
        </w:rPr>
        <w:t>附件：3.法定代表人资格证明书</w:t>
      </w:r>
    </w:p>
    <w:p w14:paraId="2CAD8E36">
      <w:pPr>
        <w:rPr>
          <w:color w:val="auto"/>
          <w:highlight w:val="none"/>
        </w:rPr>
      </w:pPr>
    </w:p>
    <w:p w14:paraId="04B43CE4">
      <w:pPr>
        <w:spacing w:line="360" w:lineRule="auto"/>
        <w:jc w:val="center"/>
        <w:rPr>
          <w:rFonts w:ascii="宋体" w:hAnsi="宋体"/>
          <w:b/>
          <w:color w:val="auto"/>
          <w:sz w:val="32"/>
          <w:szCs w:val="32"/>
          <w:highlight w:val="none"/>
        </w:rPr>
      </w:pPr>
      <w:r>
        <w:rPr>
          <w:rFonts w:hint="eastAsia" w:ascii="宋体" w:hAnsi="宋体"/>
          <w:b/>
          <w:color w:val="auto"/>
          <w:sz w:val="28"/>
          <w:szCs w:val="28"/>
          <w:highlight w:val="none"/>
        </w:rPr>
        <w:t>法定代表人资格证明书</w:t>
      </w:r>
    </w:p>
    <w:p w14:paraId="1545DFD1">
      <w:pPr>
        <w:spacing w:line="360" w:lineRule="auto"/>
        <w:rPr>
          <w:rFonts w:ascii="宋体" w:hAnsi="宋体"/>
          <w:color w:val="auto"/>
          <w:szCs w:val="21"/>
          <w:highlight w:val="none"/>
        </w:rPr>
      </w:pPr>
      <w:r>
        <w:rPr>
          <w:rFonts w:hint="eastAsia" w:ascii="宋体" w:hAnsi="宋体"/>
          <w:color w:val="auto"/>
          <w:szCs w:val="21"/>
          <w:highlight w:val="none"/>
        </w:rPr>
        <w:t>供应商名称</w:t>
      </w:r>
      <w:r>
        <w:rPr>
          <w:rFonts w:ascii="宋体" w:hAnsi="宋体"/>
          <w:color w:val="auto"/>
          <w:szCs w:val="21"/>
          <w:highlight w:val="none"/>
        </w:rPr>
        <w:t>:</w:t>
      </w:r>
    </w:p>
    <w:p w14:paraId="6D027043">
      <w:pPr>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w:t>
      </w:r>
    </w:p>
    <w:p w14:paraId="3982B0C9">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w:t>
      </w:r>
      <w:r>
        <w:rPr>
          <w:rFonts w:hint="eastAsia" w:ascii="宋体" w:hAnsi="宋体"/>
          <w:color w:val="auto"/>
          <w:szCs w:val="21"/>
          <w:highlight w:val="none"/>
        </w:rPr>
        <w:t>性别</w:t>
      </w:r>
      <w:r>
        <w:rPr>
          <w:rFonts w:ascii="宋体" w:hAnsi="宋体"/>
          <w:color w:val="auto"/>
          <w:szCs w:val="21"/>
          <w:highlight w:val="none"/>
        </w:rPr>
        <w:t>:        </w:t>
      </w:r>
      <w:r>
        <w:rPr>
          <w:rFonts w:hint="eastAsia" w:ascii="宋体" w:hAnsi="宋体"/>
          <w:color w:val="auto"/>
          <w:szCs w:val="21"/>
          <w:highlight w:val="none"/>
        </w:rPr>
        <w:t>年龄</w:t>
      </w:r>
      <w:r>
        <w:rPr>
          <w:rFonts w:ascii="宋体" w:hAnsi="宋体"/>
          <w:color w:val="auto"/>
          <w:szCs w:val="21"/>
          <w:highlight w:val="none"/>
        </w:rPr>
        <w:t>:        </w:t>
      </w:r>
      <w:r>
        <w:rPr>
          <w:rFonts w:hint="eastAsia" w:ascii="宋体" w:hAnsi="宋体"/>
          <w:color w:val="auto"/>
          <w:szCs w:val="21"/>
          <w:highlight w:val="none"/>
        </w:rPr>
        <w:t>职务</w:t>
      </w:r>
      <w:r>
        <w:rPr>
          <w:rFonts w:ascii="宋体" w:hAnsi="宋体"/>
          <w:color w:val="auto"/>
          <w:szCs w:val="21"/>
          <w:highlight w:val="none"/>
        </w:rPr>
        <w:t>:</w:t>
      </w:r>
    </w:p>
    <w:p w14:paraId="71DD15D3">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的法定代表人。为实施</w:t>
      </w:r>
      <w:r>
        <w:rPr>
          <w:rFonts w:ascii="宋体" w:hAnsi="宋体"/>
          <w:color w:val="auto"/>
          <w:szCs w:val="21"/>
          <w:highlight w:val="non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号）</w:t>
      </w:r>
      <w:r>
        <w:rPr>
          <w:rFonts w:ascii="宋体" w:hAnsi="宋体"/>
          <w:color w:val="auto"/>
          <w:szCs w:val="21"/>
          <w:highlight w:val="none"/>
          <w:u w:val="single"/>
        </w:rPr>
        <w:t> </w:t>
      </w:r>
      <w:r>
        <w:rPr>
          <w:rFonts w:hint="eastAsia" w:ascii="宋体" w:hAnsi="宋体"/>
          <w:color w:val="auto"/>
          <w:szCs w:val="21"/>
          <w:highlight w:val="none"/>
        </w:rPr>
        <w:t>的工作，签署上述项目的响应文件、进行合同谈判、签署合同和处理与之有关的一切事务。</w:t>
      </w:r>
    </w:p>
    <w:p w14:paraId="779097FE">
      <w:pPr>
        <w:spacing w:line="360" w:lineRule="auto"/>
        <w:rPr>
          <w:rFonts w:ascii="宋体" w:hAnsi="宋体"/>
          <w:color w:val="auto"/>
          <w:szCs w:val="21"/>
          <w:highlight w:val="none"/>
        </w:rPr>
      </w:pPr>
      <w:r>
        <w:rPr>
          <w:rFonts w:hint="eastAsia" w:ascii="宋体" w:hAnsi="宋体"/>
          <w:color w:val="auto"/>
          <w:szCs w:val="21"/>
          <w:highlight w:val="none"/>
        </w:rPr>
        <w:t>特此证明。</w:t>
      </w:r>
    </w:p>
    <w:p w14:paraId="050FC723">
      <w:pPr>
        <w:spacing w:line="360" w:lineRule="auto"/>
        <w:rPr>
          <w:rFonts w:ascii="宋体" w:hAnsi="宋体"/>
          <w:color w:val="auto"/>
          <w:szCs w:val="21"/>
          <w:highlight w:val="none"/>
        </w:rPr>
      </w:pPr>
    </w:p>
    <w:p w14:paraId="01ACA761">
      <w:pPr>
        <w:spacing w:line="360" w:lineRule="auto"/>
        <w:rPr>
          <w:rFonts w:ascii="宋体" w:hAnsi="宋体"/>
          <w:color w:val="auto"/>
          <w:szCs w:val="21"/>
          <w:highlight w:val="none"/>
        </w:rPr>
      </w:pPr>
    </w:p>
    <w:p w14:paraId="1FC14B2D">
      <w:pPr>
        <w:spacing w:line="360" w:lineRule="auto"/>
        <w:rPr>
          <w:rFonts w:ascii="宋体" w:hAnsi="宋体"/>
          <w:color w:val="auto"/>
          <w:szCs w:val="21"/>
          <w:highlight w:val="none"/>
        </w:rPr>
      </w:pPr>
      <w:r>
        <w:rPr>
          <w:rFonts w:ascii="宋体" w:hAnsi="宋体"/>
          <w:color w:val="auto"/>
          <w:szCs w:val="21"/>
          <w:highlight w:val="none"/>
        </w:rPr>
        <w:t>                 </w:t>
      </w:r>
      <w:r>
        <w:rPr>
          <w:rFonts w:hint="eastAsia" w:ascii="宋体" w:hAnsi="宋体"/>
          <w:color w:val="auto"/>
          <w:szCs w:val="21"/>
          <w:highlight w:val="none"/>
        </w:rPr>
        <w:t>供应商：（公章）</w:t>
      </w:r>
    </w:p>
    <w:p w14:paraId="69BBE939">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法定代表人签字或盖章：</w:t>
      </w:r>
    </w:p>
    <w:p w14:paraId="70D9C037">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274FAF37">
      <w:pPr>
        <w:tabs>
          <w:tab w:val="left" w:pos="6045"/>
        </w:tabs>
        <w:snapToGrid w:val="0"/>
        <w:spacing w:line="360" w:lineRule="auto"/>
        <w:ind w:left="210" w:hanging="210" w:hangingChars="100"/>
        <w:rPr>
          <w:rFonts w:ascii="宋体" w:hAnsi="宋体"/>
          <w:color w:val="auto"/>
          <w:szCs w:val="21"/>
          <w:highlight w:val="none"/>
        </w:rPr>
      </w:pPr>
    </w:p>
    <w:p w14:paraId="7AB365E3">
      <w:pPr>
        <w:snapToGrid w:val="0"/>
        <w:spacing w:line="360" w:lineRule="auto"/>
        <w:rPr>
          <w:rFonts w:ascii="宋体" w:hAnsi="宋体"/>
          <w:color w:val="auto"/>
          <w:szCs w:val="21"/>
          <w:highlight w:val="none"/>
        </w:rPr>
      </w:pPr>
      <w:r>
        <w:rPr>
          <w:rFonts w:hint="eastAsia" w:ascii="宋体" w:hAnsi="宋体" w:cs="宋体"/>
          <w:color w:val="auto"/>
          <w:szCs w:val="21"/>
          <w:highlight w:val="none"/>
        </w:rPr>
        <w:t> </w:t>
      </w:r>
    </w:p>
    <w:p w14:paraId="790FE08D">
      <w:pPr>
        <w:snapToGrid w:val="0"/>
        <w:spacing w:line="360" w:lineRule="auto"/>
        <w:rPr>
          <w:rFonts w:ascii="宋体" w:hAnsi="宋体"/>
          <w:color w:val="auto"/>
          <w:szCs w:val="21"/>
          <w:highlight w:val="none"/>
        </w:rPr>
      </w:pPr>
    </w:p>
    <w:p w14:paraId="40867869">
      <w:pPr>
        <w:snapToGrid w:val="0"/>
        <w:spacing w:line="360" w:lineRule="auto"/>
        <w:rPr>
          <w:rFonts w:ascii="宋体" w:hAnsi="宋体"/>
          <w:b/>
          <w:color w:val="auto"/>
          <w:szCs w:val="21"/>
          <w:highlight w:val="none"/>
        </w:rPr>
      </w:pPr>
    </w:p>
    <w:p w14:paraId="1D59E977">
      <w:pPr>
        <w:spacing w:line="360" w:lineRule="auto"/>
        <w:rPr>
          <w:rFonts w:ascii="宋体" w:hAnsi="宋体"/>
          <w:color w:val="auto"/>
          <w:szCs w:val="21"/>
          <w:highlight w:val="none"/>
        </w:rPr>
      </w:pPr>
      <w:r>
        <w:rPr>
          <w:rFonts w:hint="eastAsia" w:ascii="宋体" w:hAnsi="宋体"/>
          <w:color w:val="auto"/>
          <w:szCs w:val="21"/>
          <w:highlight w:val="none"/>
        </w:rPr>
        <w:t>法定代表人身份证</w:t>
      </w:r>
    </w:p>
    <w:p w14:paraId="21983111">
      <w:pPr>
        <w:spacing w:line="360" w:lineRule="auto"/>
        <w:rPr>
          <w:rFonts w:ascii="宋体" w:hAnsi="宋体"/>
          <w:color w:val="auto"/>
          <w:szCs w:val="21"/>
          <w:highlight w:val="none"/>
        </w:rPr>
      </w:pPr>
      <w:r>
        <w:rPr>
          <w:rFonts w:hint="eastAsia" w:ascii="宋体" w:hAnsi="宋体"/>
          <w:color w:val="auto"/>
          <w:szCs w:val="21"/>
          <w:highlight w:val="none"/>
        </w:rPr>
        <w:t>（双面复印件）粘贴处</w:t>
      </w:r>
    </w:p>
    <w:p w14:paraId="4E3FD310">
      <w:pPr>
        <w:snapToGrid w:val="0"/>
        <w:spacing w:line="360" w:lineRule="auto"/>
        <w:rPr>
          <w:rFonts w:ascii="宋体" w:hAnsi="宋体"/>
          <w:b/>
          <w:color w:val="auto"/>
          <w:sz w:val="24"/>
          <w:szCs w:val="28"/>
          <w:highlight w:val="none"/>
        </w:rPr>
      </w:pPr>
    </w:p>
    <w:p w14:paraId="1CFCDFAA">
      <w:pPr>
        <w:snapToGrid w:val="0"/>
        <w:spacing w:line="360" w:lineRule="auto"/>
        <w:rPr>
          <w:rFonts w:ascii="宋体" w:hAnsi="宋体"/>
          <w:b/>
          <w:color w:val="auto"/>
          <w:sz w:val="24"/>
          <w:szCs w:val="28"/>
          <w:highlight w:val="none"/>
        </w:rPr>
      </w:pPr>
    </w:p>
    <w:p w14:paraId="58D76830">
      <w:pPr>
        <w:rPr>
          <w:color w:val="auto"/>
          <w:highlight w:val="none"/>
        </w:rPr>
      </w:pPr>
    </w:p>
    <w:p w14:paraId="149B0DBA">
      <w:pPr>
        <w:rPr>
          <w:color w:val="auto"/>
          <w:highlight w:val="none"/>
        </w:rPr>
      </w:pPr>
    </w:p>
    <w:p w14:paraId="6EA927E6">
      <w:pPr>
        <w:rPr>
          <w:color w:val="auto"/>
          <w:highlight w:val="none"/>
        </w:rPr>
      </w:pPr>
    </w:p>
    <w:p w14:paraId="0C524BEF">
      <w:pPr>
        <w:rPr>
          <w:color w:val="auto"/>
          <w:highlight w:val="none"/>
        </w:rPr>
      </w:pPr>
    </w:p>
    <w:p w14:paraId="20C13C2A">
      <w:pPr>
        <w:rPr>
          <w:color w:val="auto"/>
          <w:highlight w:val="none"/>
        </w:rPr>
      </w:pPr>
    </w:p>
    <w:p w14:paraId="2B92E3D3">
      <w:pPr>
        <w:rPr>
          <w:color w:val="auto"/>
          <w:highlight w:val="none"/>
        </w:rPr>
      </w:pPr>
    </w:p>
    <w:p w14:paraId="2D035928">
      <w:pPr>
        <w:rPr>
          <w:color w:val="auto"/>
          <w:highlight w:val="none"/>
        </w:rPr>
      </w:pPr>
    </w:p>
    <w:p w14:paraId="704E34F6">
      <w:pPr>
        <w:rPr>
          <w:color w:val="auto"/>
          <w:highlight w:val="none"/>
        </w:rPr>
      </w:pPr>
    </w:p>
    <w:p w14:paraId="57A6E42B">
      <w:pPr>
        <w:rPr>
          <w:color w:val="auto"/>
          <w:highlight w:val="none"/>
        </w:rPr>
      </w:pPr>
    </w:p>
    <w:p w14:paraId="0226D4AF">
      <w:pPr>
        <w:outlineLvl w:val="1"/>
        <w:rPr>
          <w:rFonts w:ascii="宋体" w:hAnsi="宋体" w:cs="宋体"/>
          <w:b/>
          <w:color w:val="auto"/>
          <w:kern w:val="0"/>
          <w:szCs w:val="21"/>
          <w:highlight w:val="none"/>
        </w:rPr>
      </w:pPr>
      <w:r>
        <w:rPr>
          <w:rFonts w:ascii="宋体" w:hAnsi="宋体" w:cs="宋体"/>
          <w:b/>
          <w:color w:val="auto"/>
          <w:kern w:val="0"/>
          <w:szCs w:val="21"/>
          <w:highlight w:val="none"/>
        </w:rPr>
        <w:br w:type="page"/>
      </w:r>
    </w:p>
    <w:p w14:paraId="2BB681A4">
      <w:pPr>
        <w:outlineLvl w:val="1"/>
        <w:rPr>
          <w:rFonts w:ascii="宋体" w:hAnsi="宋体" w:cs="宋体"/>
          <w:b/>
          <w:color w:val="auto"/>
          <w:kern w:val="0"/>
          <w:szCs w:val="21"/>
          <w:highlight w:val="none"/>
        </w:rPr>
      </w:pPr>
      <w:r>
        <w:rPr>
          <w:rFonts w:hint="eastAsia" w:ascii="宋体" w:hAnsi="宋体" w:cs="宋体"/>
          <w:b/>
          <w:color w:val="auto"/>
          <w:kern w:val="0"/>
          <w:szCs w:val="21"/>
          <w:highlight w:val="none"/>
        </w:rPr>
        <w:t>附件：4.授权委托书</w:t>
      </w:r>
    </w:p>
    <w:p w14:paraId="3215984D">
      <w:pPr>
        <w:pStyle w:val="56"/>
        <w:spacing w:line="360" w:lineRule="exact"/>
        <w:ind w:firstLine="562"/>
        <w:jc w:val="center"/>
        <w:rPr>
          <w:rFonts w:cs="宋体"/>
          <w:b/>
          <w:color w:val="auto"/>
          <w:sz w:val="28"/>
          <w:szCs w:val="28"/>
          <w:highlight w:val="none"/>
        </w:rPr>
      </w:pPr>
      <w:r>
        <w:rPr>
          <w:rFonts w:hint="eastAsia" w:cs="宋体"/>
          <w:b/>
          <w:color w:val="auto"/>
          <w:sz w:val="28"/>
          <w:szCs w:val="28"/>
          <w:highlight w:val="none"/>
        </w:rPr>
        <w:t>授权委托书</w:t>
      </w:r>
    </w:p>
    <w:p w14:paraId="24BF37C5">
      <w:pPr>
        <w:adjustRightInd w:val="0"/>
        <w:snapToGrid w:val="0"/>
        <w:spacing w:line="360" w:lineRule="auto"/>
        <w:ind w:firstLine="516" w:firstLineChars="215"/>
        <w:rPr>
          <w:rFonts w:ascii="宋体" w:hAnsi="宋体" w:cs="宋体"/>
          <w:color w:val="auto"/>
          <w:sz w:val="24"/>
          <w:szCs w:val="24"/>
          <w:highlight w:val="none"/>
        </w:rPr>
      </w:pPr>
    </w:p>
    <w:p w14:paraId="7EF2517C">
      <w:pPr>
        <w:adjustRightInd w:val="0"/>
        <w:snapToGrid w:val="0"/>
        <w:spacing w:line="360" w:lineRule="auto"/>
        <w:ind w:firstLine="451" w:firstLineChars="215"/>
        <w:rPr>
          <w:rFonts w:ascii="宋体" w:hAnsi="宋体" w:cs="宋体"/>
          <w:color w:val="auto"/>
          <w:szCs w:val="21"/>
          <w:highlight w:val="none"/>
        </w:rPr>
      </w:pPr>
      <w:r>
        <w:rPr>
          <w:rFonts w:hint="eastAsia" w:ascii="宋体" w:hAnsi="宋体" w:cs="宋体"/>
          <w:color w:val="auto"/>
          <w:szCs w:val="21"/>
          <w:highlight w:val="none"/>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7A02CF0A">
      <w:pPr>
        <w:adjustRightInd w:val="0"/>
        <w:snapToGrid w:val="0"/>
        <w:spacing w:line="360" w:lineRule="auto"/>
        <w:ind w:firstLine="397"/>
        <w:rPr>
          <w:rFonts w:ascii="宋体" w:hAnsi="宋体" w:cs="宋体"/>
          <w:color w:val="auto"/>
          <w:szCs w:val="21"/>
          <w:highlight w:val="none"/>
        </w:rPr>
      </w:pPr>
      <w:r>
        <w:rPr>
          <w:rFonts w:hint="eastAsia" w:ascii="宋体" w:hAnsi="宋体" w:cs="宋体"/>
          <w:color w:val="auto"/>
          <w:szCs w:val="21"/>
          <w:highlight w:val="none"/>
        </w:rPr>
        <w:t>本授权书于__________年_______月________日签字生效，特此声明。</w:t>
      </w:r>
    </w:p>
    <w:p w14:paraId="73DA3A5E">
      <w:pPr>
        <w:adjustRightInd w:val="0"/>
        <w:snapToGrid w:val="0"/>
        <w:spacing w:line="360" w:lineRule="auto"/>
        <w:rPr>
          <w:rFonts w:ascii="宋体" w:hAnsi="宋体" w:cs="宋体"/>
          <w:color w:val="auto"/>
          <w:sz w:val="24"/>
          <w:szCs w:val="24"/>
          <w:highlight w:val="none"/>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2"/>
      </w:tblGrid>
      <w:tr w14:paraId="575C9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29A63D75">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 xml:space="preserve">法定代表人签字或盖章：  </w:t>
            </w:r>
          </w:p>
          <w:p w14:paraId="397D1A88">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 xml:space="preserve">职务：                  </w:t>
            </w:r>
          </w:p>
          <w:p w14:paraId="1BC73B27">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 xml:space="preserve">单位名称：              </w:t>
            </w:r>
          </w:p>
          <w:p w14:paraId="2C7E9CD2">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身份证号码：</w:t>
            </w:r>
          </w:p>
          <w:p w14:paraId="11F82A0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Cs w:val="21"/>
                <w:highlight w:val="none"/>
                <w:vertAlign w:val="baseline"/>
              </w:rPr>
            </w:pPr>
          </w:p>
        </w:tc>
        <w:tc>
          <w:tcPr>
            <w:tcW w:w="4262" w:type="dxa"/>
          </w:tcPr>
          <w:p w14:paraId="5F65E6A3">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日期：</w:t>
            </w:r>
          </w:p>
          <w:p w14:paraId="3CF9BAB0">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联系电话：</w:t>
            </w:r>
          </w:p>
          <w:p w14:paraId="0A6AF9F0">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地址：</w:t>
            </w:r>
          </w:p>
          <w:p w14:paraId="2282CD8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Cs w:val="21"/>
                <w:highlight w:val="none"/>
                <w:vertAlign w:val="baseline"/>
              </w:rPr>
            </w:pPr>
          </w:p>
        </w:tc>
      </w:tr>
      <w:tr w14:paraId="3B05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61" w:type="dxa"/>
          </w:tcPr>
          <w:p w14:paraId="2A72E1AB">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委托代理人（被授权人）签字或盖章：</w:t>
            </w:r>
          </w:p>
          <w:p w14:paraId="2D79D383">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 xml:space="preserve">职务：                            </w:t>
            </w:r>
          </w:p>
          <w:p w14:paraId="191FF396">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 xml:space="preserve">单位名称：                        </w:t>
            </w:r>
          </w:p>
          <w:p w14:paraId="63BC5749">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身份证号码：</w:t>
            </w:r>
          </w:p>
          <w:p w14:paraId="1118B5A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Cs w:val="21"/>
                <w:highlight w:val="none"/>
                <w:vertAlign w:val="baseline"/>
              </w:rPr>
            </w:pPr>
          </w:p>
        </w:tc>
        <w:tc>
          <w:tcPr>
            <w:tcW w:w="4262" w:type="dxa"/>
          </w:tcPr>
          <w:p w14:paraId="51686F01">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日期：</w:t>
            </w:r>
          </w:p>
          <w:p w14:paraId="73611FC6">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联系电话：</w:t>
            </w:r>
          </w:p>
          <w:p w14:paraId="792A64AC">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地址：</w:t>
            </w:r>
          </w:p>
          <w:p w14:paraId="1FD2702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Cs w:val="21"/>
                <w:highlight w:val="none"/>
                <w:vertAlign w:val="baseline"/>
              </w:rPr>
            </w:pPr>
          </w:p>
        </w:tc>
      </w:tr>
      <w:tr w14:paraId="5256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4CD32E6">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 xml:space="preserve">供应商公章： </w:t>
            </w:r>
          </w:p>
          <w:p w14:paraId="188D285E">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 xml:space="preserve">地址：         </w:t>
            </w:r>
          </w:p>
          <w:p w14:paraId="752DDCA1">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 xml:space="preserve">传真：         </w:t>
            </w:r>
          </w:p>
          <w:p w14:paraId="03922203">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开户行：</w:t>
            </w:r>
          </w:p>
          <w:p w14:paraId="1904F510">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帐号：</w:t>
            </w:r>
          </w:p>
          <w:p w14:paraId="14AC9B9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Cs w:val="21"/>
                <w:highlight w:val="none"/>
                <w:vertAlign w:val="baseline"/>
              </w:rPr>
            </w:pPr>
          </w:p>
        </w:tc>
        <w:tc>
          <w:tcPr>
            <w:tcW w:w="4262" w:type="dxa"/>
          </w:tcPr>
          <w:p w14:paraId="2144743E">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电话：</w:t>
            </w:r>
          </w:p>
          <w:p w14:paraId="4BD1124B">
            <w:pPr>
              <w:keepNext w:val="0"/>
              <w:keepLines w:val="0"/>
              <w:pageBreakBefore w:val="0"/>
              <w:widowControl w:val="0"/>
              <w:kinsoku/>
              <w:wordWrap/>
              <w:overflowPunct/>
              <w:topLinePunct w:val="0"/>
              <w:autoSpaceDE/>
              <w:autoSpaceDN/>
              <w:bidi w:val="0"/>
              <w:spacing w:line="360" w:lineRule="exact"/>
              <w:textAlignment w:val="auto"/>
              <w:rPr>
                <w:color w:val="auto"/>
                <w:highlight w:val="none"/>
              </w:rPr>
            </w:pPr>
            <w:r>
              <w:rPr>
                <w:rFonts w:hint="eastAsia" w:ascii="宋体" w:hAnsi="宋体" w:cs="宋体"/>
                <w:color w:val="auto"/>
                <w:szCs w:val="21"/>
                <w:highlight w:val="none"/>
              </w:rPr>
              <w:t>邮编：</w:t>
            </w:r>
          </w:p>
          <w:p w14:paraId="22218FF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cs="宋体"/>
                <w:color w:val="auto"/>
                <w:szCs w:val="21"/>
                <w:highlight w:val="none"/>
                <w:vertAlign w:val="baseline"/>
              </w:rPr>
            </w:pPr>
          </w:p>
        </w:tc>
      </w:tr>
    </w:tbl>
    <w:p w14:paraId="4206371F">
      <w:pPr>
        <w:spacing w:line="400" w:lineRule="exact"/>
        <w:rPr>
          <w:rFonts w:ascii="宋体" w:hAnsi="宋体"/>
          <w:color w:val="auto"/>
          <w:szCs w:val="21"/>
          <w:highlight w:val="none"/>
        </w:rPr>
      </w:pPr>
      <w:r>
        <w:rPr>
          <w:rFonts w:hint="eastAsia" w:ascii="宋体" w:hAnsi="宋体"/>
          <w:color w:val="auto"/>
          <w:szCs w:val="21"/>
          <w:highlight w:val="none"/>
        </w:rPr>
        <w:t>代理人身份证</w:t>
      </w:r>
    </w:p>
    <w:p w14:paraId="670A8F44">
      <w:pPr>
        <w:spacing w:line="360" w:lineRule="auto"/>
        <w:rPr>
          <w:rFonts w:ascii="宋体" w:hAnsi="宋体" w:cs="宋体"/>
          <w:color w:val="auto"/>
          <w:sz w:val="24"/>
          <w:szCs w:val="24"/>
          <w:highlight w:val="none"/>
        </w:rPr>
      </w:pPr>
      <w:r>
        <w:rPr>
          <w:rFonts w:hint="eastAsia" w:ascii="宋体" w:hAnsi="宋体"/>
          <w:color w:val="auto"/>
          <w:szCs w:val="21"/>
          <w:highlight w:val="none"/>
        </w:rPr>
        <w:t>（双面复印件）粘贴处</w:t>
      </w:r>
    </w:p>
    <w:p w14:paraId="37B148CA">
      <w:pPr>
        <w:spacing w:line="360" w:lineRule="auto"/>
        <w:rPr>
          <w:rFonts w:ascii="宋体" w:hAnsi="宋体" w:cs="宋体"/>
          <w:color w:val="auto"/>
          <w:sz w:val="24"/>
          <w:szCs w:val="24"/>
          <w:highlight w:val="none"/>
        </w:rPr>
      </w:pPr>
    </w:p>
    <w:p w14:paraId="0D03A199">
      <w:pPr>
        <w:spacing w:line="360" w:lineRule="auto"/>
        <w:rPr>
          <w:rFonts w:ascii="宋体" w:hAnsi="宋体" w:cs="宋体"/>
          <w:color w:val="auto"/>
          <w:szCs w:val="21"/>
          <w:highlight w:val="none"/>
        </w:rPr>
      </w:pPr>
    </w:p>
    <w:p w14:paraId="5F45F791">
      <w:pPr>
        <w:rPr>
          <w:rFonts w:ascii="宋体" w:hAnsi="宋体" w:cs="宋体"/>
          <w:color w:val="auto"/>
          <w:szCs w:val="21"/>
          <w:highlight w:val="none"/>
        </w:rPr>
      </w:pPr>
    </w:p>
    <w:p w14:paraId="35130F1B">
      <w:pPr>
        <w:widowControl/>
        <w:snapToGrid w:val="0"/>
        <w:spacing w:line="360" w:lineRule="auto"/>
        <w:ind w:right="-308"/>
        <w:jc w:val="left"/>
        <w:rPr>
          <w:rFonts w:ascii="宋体" w:hAnsi="宋体" w:cs="宋体"/>
          <w:b/>
          <w:color w:val="auto"/>
          <w:kern w:val="0"/>
          <w:szCs w:val="21"/>
          <w:highlight w:val="none"/>
        </w:rPr>
      </w:pPr>
      <w:r>
        <w:rPr>
          <w:rFonts w:ascii="宋体" w:hAnsi="宋体" w:cs="宋体"/>
          <w:b/>
          <w:color w:val="auto"/>
          <w:kern w:val="0"/>
          <w:szCs w:val="21"/>
          <w:highlight w:val="none"/>
        </w:rPr>
        <w:br w:type="page"/>
      </w:r>
    </w:p>
    <w:p w14:paraId="21341350">
      <w:pPr>
        <w:outlineLvl w:val="1"/>
        <w:rPr>
          <w:rFonts w:ascii="宋体" w:hAnsi="宋体" w:cs="宋体"/>
          <w:b/>
          <w:color w:val="auto"/>
          <w:kern w:val="0"/>
          <w:szCs w:val="21"/>
          <w:highlight w:val="none"/>
        </w:rPr>
      </w:pPr>
      <w:r>
        <w:rPr>
          <w:rFonts w:hint="eastAsia" w:ascii="宋体" w:hAnsi="宋体" w:cs="宋体"/>
          <w:b/>
          <w:color w:val="auto"/>
          <w:kern w:val="0"/>
          <w:szCs w:val="21"/>
          <w:highlight w:val="none"/>
        </w:rPr>
        <w:t>附件：5.报价一览表</w:t>
      </w:r>
    </w:p>
    <w:p w14:paraId="15E29369">
      <w:pPr>
        <w:ind w:firstLine="309"/>
        <w:jc w:val="center"/>
        <w:rPr>
          <w:rFonts w:ascii="宋体" w:hAnsi="宋体"/>
          <w:color w:val="auto"/>
          <w:sz w:val="28"/>
          <w:szCs w:val="28"/>
          <w:highlight w:val="none"/>
        </w:rPr>
      </w:pPr>
      <w:r>
        <w:rPr>
          <w:rFonts w:hint="eastAsia" w:ascii="宋体" w:hAnsi="宋体"/>
          <w:b/>
          <w:color w:val="auto"/>
          <w:sz w:val="28"/>
          <w:szCs w:val="28"/>
          <w:highlight w:val="none"/>
        </w:rPr>
        <w:t>报价一览表</w:t>
      </w:r>
    </w:p>
    <w:p w14:paraId="30C933A4">
      <w:pPr>
        <w:pStyle w:val="11"/>
        <w:snapToGrid w:val="0"/>
        <w:spacing w:line="360" w:lineRule="auto"/>
        <w:ind w:firstLine="420"/>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供应商（公章）：</w:t>
      </w:r>
    </w:p>
    <w:tbl>
      <w:tblPr>
        <w:tblStyle w:val="21"/>
        <w:tblW w:w="79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955"/>
      </w:tblGrid>
      <w:tr w14:paraId="1812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5" w:type="dxa"/>
            <w:tcBorders>
              <w:top w:val="single" w:color="auto" w:sz="4" w:space="0"/>
              <w:left w:val="single" w:color="auto" w:sz="4" w:space="0"/>
              <w:bottom w:val="single" w:color="auto" w:sz="4" w:space="0"/>
              <w:right w:val="single" w:color="auto" w:sz="4" w:space="0"/>
            </w:tcBorders>
            <w:vAlign w:val="center"/>
          </w:tcPr>
          <w:p w14:paraId="445D7BDC">
            <w:pPr>
              <w:jc w:val="center"/>
              <w:rPr>
                <w:rFonts w:ascii="宋体" w:hAnsi="宋体"/>
                <w:color w:val="auto"/>
                <w:szCs w:val="21"/>
                <w:highlight w:val="none"/>
              </w:rPr>
            </w:pPr>
            <w:r>
              <w:rPr>
                <w:rFonts w:hint="eastAsia" w:ascii="宋体" w:hAnsi="宋体"/>
                <w:color w:val="auto"/>
                <w:szCs w:val="21"/>
                <w:highlight w:val="none"/>
              </w:rPr>
              <w:t>项目名称</w:t>
            </w:r>
          </w:p>
        </w:tc>
        <w:tc>
          <w:tcPr>
            <w:tcW w:w="5955" w:type="dxa"/>
            <w:tcBorders>
              <w:top w:val="single" w:color="auto" w:sz="4" w:space="0"/>
              <w:left w:val="single" w:color="auto" w:sz="4" w:space="0"/>
              <w:bottom w:val="single" w:color="auto" w:sz="4" w:space="0"/>
              <w:right w:val="single" w:color="auto" w:sz="4" w:space="0"/>
            </w:tcBorders>
            <w:vAlign w:val="center"/>
          </w:tcPr>
          <w:p w14:paraId="700466DE">
            <w:pPr>
              <w:jc w:val="center"/>
              <w:rPr>
                <w:rFonts w:ascii="宋体" w:hAnsi="宋体"/>
                <w:color w:val="auto"/>
                <w:szCs w:val="21"/>
                <w:highlight w:val="none"/>
              </w:rPr>
            </w:pPr>
          </w:p>
        </w:tc>
      </w:tr>
      <w:tr w14:paraId="258C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5" w:type="dxa"/>
            <w:tcBorders>
              <w:top w:val="single" w:color="auto" w:sz="4" w:space="0"/>
              <w:left w:val="single" w:color="auto" w:sz="4" w:space="0"/>
              <w:bottom w:val="single" w:color="auto" w:sz="4" w:space="0"/>
              <w:right w:val="single" w:color="auto" w:sz="4" w:space="0"/>
            </w:tcBorders>
            <w:vAlign w:val="center"/>
          </w:tcPr>
          <w:p w14:paraId="10BA49BD">
            <w:pPr>
              <w:jc w:val="center"/>
              <w:rPr>
                <w:rFonts w:ascii="宋体" w:hAnsi="宋体"/>
                <w:color w:val="auto"/>
                <w:szCs w:val="21"/>
                <w:highlight w:val="none"/>
              </w:rPr>
            </w:pPr>
            <w:r>
              <w:rPr>
                <w:rFonts w:hint="eastAsia" w:ascii="宋体" w:hAnsi="宋体"/>
                <w:color w:val="auto"/>
                <w:szCs w:val="21"/>
                <w:highlight w:val="none"/>
              </w:rPr>
              <w:t>项目总价</w:t>
            </w:r>
          </w:p>
        </w:tc>
        <w:tc>
          <w:tcPr>
            <w:tcW w:w="5955" w:type="dxa"/>
            <w:tcBorders>
              <w:top w:val="single" w:color="auto" w:sz="4" w:space="0"/>
              <w:left w:val="single" w:color="auto" w:sz="4" w:space="0"/>
              <w:bottom w:val="single" w:color="auto" w:sz="4" w:space="0"/>
              <w:right w:val="single" w:color="auto" w:sz="4" w:space="0"/>
            </w:tcBorders>
            <w:vAlign w:val="center"/>
          </w:tcPr>
          <w:p w14:paraId="4CD4F12F">
            <w:pPr>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大写：人民币              元</w:t>
            </w:r>
          </w:p>
        </w:tc>
      </w:tr>
      <w:tr w14:paraId="0CD2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5" w:type="dxa"/>
            <w:tcBorders>
              <w:top w:val="single" w:color="auto" w:sz="4" w:space="0"/>
              <w:left w:val="single" w:color="auto" w:sz="4" w:space="0"/>
              <w:bottom w:val="single" w:color="auto" w:sz="4" w:space="0"/>
              <w:right w:val="single" w:color="auto" w:sz="4" w:space="0"/>
            </w:tcBorders>
            <w:vAlign w:val="center"/>
          </w:tcPr>
          <w:p w14:paraId="1C60B0FC">
            <w:pPr>
              <w:jc w:val="center"/>
              <w:rPr>
                <w:rFonts w:ascii="宋体" w:hAnsi="宋体"/>
                <w:color w:val="auto"/>
                <w:szCs w:val="21"/>
                <w:highlight w:val="none"/>
              </w:rPr>
            </w:pPr>
            <w:r>
              <w:rPr>
                <w:rFonts w:hint="eastAsia" w:ascii="宋体" w:hAnsi="宋体"/>
                <w:color w:val="auto"/>
                <w:szCs w:val="21"/>
                <w:highlight w:val="none"/>
              </w:rPr>
              <w:t>质保期</w:t>
            </w:r>
          </w:p>
        </w:tc>
        <w:tc>
          <w:tcPr>
            <w:tcW w:w="5955" w:type="dxa"/>
            <w:tcBorders>
              <w:top w:val="single" w:color="auto" w:sz="4" w:space="0"/>
              <w:left w:val="single" w:color="auto" w:sz="4" w:space="0"/>
              <w:bottom w:val="single" w:color="auto" w:sz="4" w:space="0"/>
              <w:right w:val="single" w:color="auto" w:sz="4" w:space="0"/>
            </w:tcBorders>
            <w:vAlign w:val="center"/>
          </w:tcPr>
          <w:p w14:paraId="0EFB6FBB">
            <w:pPr>
              <w:jc w:val="center"/>
              <w:rPr>
                <w:rFonts w:ascii="宋体" w:hAnsi="宋体"/>
                <w:color w:val="auto"/>
                <w:szCs w:val="21"/>
                <w:highlight w:val="none"/>
              </w:rPr>
            </w:pPr>
          </w:p>
        </w:tc>
      </w:tr>
    </w:tbl>
    <w:p w14:paraId="35F0016D">
      <w:pPr>
        <w:rPr>
          <w:rFonts w:ascii="宋体" w:hAnsi="宋体"/>
          <w:color w:val="auto"/>
          <w:szCs w:val="21"/>
          <w:highlight w:val="none"/>
        </w:rPr>
      </w:pPr>
    </w:p>
    <w:p w14:paraId="4973AAD9">
      <w:pPr>
        <w:rPr>
          <w:rFonts w:ascii="宋体" w:hAnsi="宋体"/>
          <w:color w:val="auto"/>
          <w:szCs w:val="21"/>
          <w:highlight w:val="none"/>
        </w:rPr>
      </w:pPr>
      <w:r>
        <w:rPr>
          <w:rFonts w:hint="eastAsia" w:ascii="宋体" w:hAnsi="宋体"/>
          <w:color w:val="auto"/>
          <w:szCs w:val="21"/>
          <w:highlight w:val="none"/>
        </w:rPr>
        <w:t>法定代表人或代理人（签字或盖章）：</w:t>
      </w:r>
    </w:p>
    <w:p w14:paraId="4E081051">
      <w:pPr>
        <w:pStyle w:val="83"/>
        <w:spacing w:line="360" w:lineRule="exact"/>
        <w:ind w:firstLine="4620"/>
        <w:jc w:val="right"/>
        <w:rPr>
          <w:rFonts w:hAnsi="宋体"/>
          <w:color w:val="auto"/>
          <w:sz w:val="21"/>
          <w:szCs w:val="21"/>
          <w:highlight w:val="none"/>
        </w:rPr>
      </w:pPr>
      <w:r>
        <w:rPr>
          <w:rFonts w:hint="eastAsia" w:hAnsi="宋体" w:eastAsia="宋体"/>
          <w:color w:val="auto"/>
          <w:sz w:val="21"/>
          <w:szCs w:val="21"/>
          <w:highlight w:val="none"/>
        </w:rPr>
        <w:t>年     月     日</w:t>
      </w:r>
      <w:r>
        <w:rPr>
          <w:rFonts w:hint="eastAsia" w:hAnsi="宋体"/>
          <w:color w:val="auto"/>
          <w:sz w:val="21"/>
          <w:szCs w:val="21"/>
          <w:highlight w:val="none"/>
        </w:rPr>
        <w:t xml:space="preserve"> </w:t>
      </w:r>
    </w:p>
    <w:p w14:paraId="1F6278B9">
      <w:pPr>
        <w:spacing w:line="360" w:lineRule="auto"/>
        <w:jc w:val="center"/>
        <w:rPr>
          <w:rFonts w:ascii="宋体" w:hAnsi="宋体"/>
          <w:b/>
          <w:color w:val="auto"/>
          <w:szCs w:val="21"/>
          <w:highlight w:val="none"/>
        </w:rPr>
        <w:sectPr>
          <w:headerReference r:id="rId5"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pPr>
    </w:p>
    <w:p w14:paraId="4008595B">
      <w:pPr>
        <w:outlineLvl w:val="1"/>
        <w:rPr>
          <w:rFonts w:ascii="宋体" w:hAnsi="宋体" w:cs="宋体"/>
          <w:b/>
          <w:color w:val="auto"/>
          <w:sz w:val="28"/>
          <w:szCs w:val="28"/>
          <w:highlight w:val="none"/>
        </w:rPr>
      </w:pPr>
      <w:r>
        <w:rPr>
          <w:rFonts w:hint="eastAsia" w:ascii="宋体" w:hAnsi="宋体" w:cs="宋体"/>
          <w:b/>
          <w:color w:val="auto"/>
          <w:kern w:val="0"/>
          <w:szCs w:val="21"/>
          <w:highlight w:val="none"/>
        </w:rPr>
        <w:t>附件：6.报价明细表</w:t>
      </w:r>
    </w:p>
    <w:p w14:paraId="19D7F629">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报价明细表</w:t>
      </w:r>
    </w:p>
    <w:p w14:paraId="097769C7">
      <w:pPr>
        <w:snapToGrid w:val="0"/>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s="宋体"/>
          <w:color w:val="auto"/>
          <w:szCs w:val="21"/>
          <w:highlight w:val="none"/>
        </w:rPr>
        <w:t> </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666"/>
        <w:gridCol w:w="396"/>
        <w:gridCol w:w="3644"/>
        <w:gridCol w:w="1296"/>
        <w:gridCol w:w="666"/>
        <w:gridCol w:w="694"/>
        <w:gridCol w:w="760"/>
      </w:tblGrid>
      <w:tr w14:paraId="0867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38" w:type="pct"/>
            <w:vAlign w:val="center"/>
          </w:tcPr>
          <w:p w14:paraId="17E62AF6">
            <w:pPr>
              <w:pStyle w:val="17"/>
              <w:widowControl w:val="0"/>
              <w:numPr>
                <w:ilvl w:val="0"/>
                <w:numId w:val="0"/>
              </w:numPr>
              <w:tabs>
                <w:tab w:val="clear" w:pos="9345"/>
              </w:tabs>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序号</w:t>
            </w:r>
          </w:p>
        </w:tc>
        <w:tc>
          <w:tcPr>
            <w:tcW w:w="382" w:type="pct"/>
            <w:vAlign w:val="center"/>
          </w:tcPr>
          <w:p w14:paraId="7355E71B">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名称</w:t>
            </w:r>
          </w:p>
        </w:tc>
        <w:tc>
          <w:tcPr>
            <w:tcW w:w="287" w:type="pct"/>
            <w:vAlign w:val="center"/>
          </w:tcPr>
          <w:p w14:paraId="196E4E72">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单位</w:t>
            </w:r>
          </w:p>
        </w:tc>
        <w:tc>
          <w:tcPr>
            <w:tcW w:w="2194" w:type="pct"/>
            <w:vAlign w:val="center"/>
          </w:tcPr>
          <w:p w14:paraId="19A99BDB">
            <w:pPr>
              <w:pStyle w:val="17"/>
              <w:widowControl w:val="0"/>
              <w:numPr>
                <w:ilvl w:val="0"/>
                <w:numId w:val="0"/>
              </w:num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技术参数</w:t>
            </w:r>
          </w:p>
        </w:tc>
        <w:tc>
          <w:tcPr>
            <w:tcW w:w="662" w:type="pct"/>
            <w:vAlign w:val="center"/>
          </w:tcPr>
          <w:p w14:paraId="5C5F2B26">
            <w:pPr>
              <w:pStyle w:val="17"/>
              <w:widowControl w:val="0"/>
              <w:numPr>
                <w:ilvl w:val="0"/>
                <w:numId w:val="0"/>
              </w:num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图片</w:t>
            </w:r>
          </w:p>
        </w:tc>
        <w:tc>
          <w:tcPr>
            <w:tcW w:w="306" w:type="pct"/>
            <w:vAlign w:val="center"/>
          </w:tcPr>
          <w:p w14:paraId="6B9A6D86">
            <w:pPr>
              <w:pStyle w:val="17"/>
              <w:widowControl w:val="0"/>
              <w:numPr>
                <w:ilvl w:val="0"/>
                <w:numId w:val="0"/>
              </w:num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数量</w:t>
            </w:r>
          </w:p>
        </w:tc>
        <w:tc>
          <w:tcPr>
            <w:tcW w:w="443" w:type="pct"/>
            <w:vAlign w:val="center"/>
          </w:tcPr>
          <w:p w14:paraId="786064CC">
            <w:pPr>
              <w:pStyle w:val="17"/>
              <w:widowControl w:val="0"/>
              <w:numPr>
                <w:ilvl w:val="0"/>
                <w:numId w:val="0"/>
              </w:num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单价</w:t>
            </w:r>
          </w:p>
        </w:tc>
        <w:tc>
          <w:tcPr>
            <w:tcW w:w="484" w:type="pct"/>
            <w:vAlign w:val="center"/>
          </w:tcPr>
          <w:p w14:paraId="03E004E9">
            <w:pPr>
              <w:pStyle w:val="17"/>
              <w:widowControl w:val="0"/>
              <w:numPr>
                <w:ilvl w:val="0"/>
                <w:numId w:val="0"/>
              </w:num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小计</w:t>
            </w:r>
          </w:p>
        </w:tc>
      </w:tr>
      <w:tr w14:paraId="1E78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38" w:type="pct"/>
            <w:vAlign w:val="center"/>
          </w:tcPr>
          <w:p w14:paraId="7D10837C">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382" w:type="pct"/>
            <w:vAlign w:val="center"/>
          </w:tcPr>
          <w:p w14:paraId="68F46462">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A单元组件</w:t>
            </w:r>
          </w:p>
        </w:tc>
        <w:tc>
          <w:tcPr>
            <w:tcW w:w="287" w:type="pct"/>
            <w:vAlign w:val="center"/>
          </w:tcPr>
          <w:p w14:paraId="7A0DDFD7">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件</w:t>
            </w:r>
          </w:p>
        </w:tc>
        <w:tc>
          <w:tcPr>
            <w:tcW w:w="2194" w:type="pct"/>
            <w:vAlign w:val="top"/>
          </w:tcPr>
          <w:p w14:paraId="6D4AD6A9">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1.结构框架采用优质碳钢管焊接而成，结构强度高，可靠性强；</w:t>
            </w:r>
          </w:p>
          <w:p w14:paraId="69870AE8">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2.每块板墙外板由上下两块可拆卸板块组成，并支持灵活拆卸，实现多功能组合更换，门板可以实现快速插接安装，安装更便捷；可根据实际训练及场景要求，灵活更换透明板、铁网板、射击观察口板等。</w:t>
            </w:r>
          </w:p>
          <w:p w14:paraId="1BFCDEA3">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.每块门板配2个不锈钢拉手，方便安装搬运；</w:t>
            </w:r>
          </w:p>
          <w:p w14:paraId="6EA6B1D6">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US" w:eastAsia="zh-CN"/>
              </w:rPr>
              <w:t>.每块门板连接处采用插接式双向插接卡位，可单独拆卸，任意安装；</w:t>
            </w:r>
          </w:p>
          <w:p w14:paraId="4D2B34E0">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.框架整体焊接后，表面喷涂颜色做防锈处理；</w:t>
            </w:r>
          </w:p>
          <w:p w14:paraId="3E1EFBA6">
            <w:pPr>
              <w:rPr>
                <w:rFonts w:hint="default"/>
                <w:color w:val="auto"/>
                <w:highlight w:val="none"/>
                <w:lang w:val="en-US" w:eastAsia="zh-CN"/>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.尺寸规格：</w:t>
            </w:r>
            <w:r>
              <w:rPr>
                <w:rFonts w:hint="eastAsia" w:ascii="宋体" w:hAnsi="宋体" w:cs="宋体"/>
                <w:color w:val="auto"/>
                <w:sz w:val="18"/>
                <w:szCs w:val="18"/>
                <w:highlight w:val="none"/>
                <w:lang w:val="en-US" w:eastAsia="zh-CN"/>
              </w:rPr>
              <w:t>约</w:t>
            </w:r>
            <w:r>
              <w:rPr>
                <w:rFonts w:hint="eastAsia" w:ascii="宋体" w:hAnsi="宋体" w:eastAsia="宋体" w:cs="宋体"/>
                <w:color w:val="auto"/>
                <w:sz w:val="18"/>
                <w:szCs w:val="18"/>
                <w:highlight w:val="none"/>
                <w:lang w:val="en-US" w:eastAsia="zh-CN"/>
              </w:rPr>
              <w:t>2M*1M</w:t>
            </w:r>
          </w:p>
        </w:tc>
        <w:tc>
          <w:tcPr>
            <w:tcW w:w="662" w:type="pct"/>
            <w:vAlign w:val="center"/>
          </w:tcPr>
          <w:p w14:paraId="10B0A1FF">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drawing>
                <wp:inline distT="0" distB="0" distL="114300" distR="114300">
                  <wp:extent cx="541020" cy="1005840"/>
                  <wp:effectExtent l="0" t="0" r="1143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lum/>
                          </a:blip>
                          <a:stretch>
                            <a:fillRect/>
                          </a:stretch>
                        </pic:blipFill>
                        <pic:spPr>
                          <a:xfrm>
                            <a:off x="0" y="0"/>
                            <a:ext cx="541020" cy="1005840"/>
                          </a:xfrm>
                          <a:prstGeom prst="rect">
                            <a:avLst/>
                          </a:prstGeom>
                          <a:noFill/>
                          <a:ln>
                            <a:noFill/>
                          </a:ln>
                        </pic:spPr>
                      </pic:pic>
                    </a:graphicData>
                  </a:graphic>
                </wp:inline>
              </w:drawing>
            </w:r>
          </w:p>
        </w:tc>
        <w:tc>
          <w:tcPr>
            <w:tcW w:w="306" w:type="pct"/>
            <w:vAlign w:val="center"/>
          </w:tcPr>
          <w:p w14:paraId="765A1AD4">
            <w:pPr>
              <w:pStyle w:val="17"/>
              <w:widowControl w:val="0"/>
              <w:numPr>
                <w:ilvl w:val="0"/>
                <w:numId w:val="0"/>
              </w:numPr>
              <w:ind w:left="0" w:leftChars="0" w:firstLine="0" w:firstLineChars="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83</w:t>
            </w:r>
          </w:p>
        </w:tc>
        <w:tc>
          <w:tcPr>
            <w:tcW w:w="443" w:type="pct"/>
            <w:vAlign w:val="center"/>
          </w:tcPr>
          <w:p w14:paraId="37A6DC01">
            <w:pPr>
              <w:widowControl/>
              <w:jc w:val="center"/>
              <w:textAlignment w:val="center"/>
              <w:rPr>
                <w:rFonts w:hint="default" w:ascii="宋体" w:hAnsi="宋体" w:eastAsia="宋体" w:cs="宋体"/>
                <w:i w:val="0"/>
                <w:iCs w:val="0"/>
                <w:color w:val="auto"/>
                <w:kern w:val="0"/>
                <w:sz w:val="18"/>
                <w:szCs w:val="18"/>
                <w:highlight w:val="none"/>
                <w:u w:val="none"/>
                <w:lang w:val="en-US" w:eastAsia="zh-CN"/>
              </w:rPr>
            </w:pPr>
          </w:p>
        </w:tc>
        <w:tc>
          <w:tcPr>
            <w:tcW w:w="484" w:type="pct"/>
            <w:vAlign w:val="center"/>
          </w:tcPr>
          <w:p w14:paraId="06F9691D">
            <w:pPr>
              <w:widowControl/>
              <w:jc w:val="right"/>
              <w:textAlignment w:val="center"/>
              <w:rPr>
                <w:rFonts w:hint="default" w:ascii="宋体" w:hAnsi="宋体" w:eastAsia="宋体" w:cs="宋体"/>
                <w:i w:val="0"/>
                <w:iCs w:val="0"/>
                <w:color w:val="auto"/>
                <w:kern w:val="0"/>
                <w:sz w:val="18"/>
                <w:szCs w:val="18"/>
                <w:highlight w:val="none"/>
                <w:u w:val="none"/>
                <w:lang w:val="en-US" w:eastAsia="zh-CN"/>
              </w:rPr>
            </w:pPr>
          </w:p>
        </w:tc>
      </w:tr>
      <w:tr w14:paraId="0FBC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238" w:type="pct"/>
            <w:vAlign w:val="center"/>
          </w:tcPr>
          <w:p w14:paraId="09500DD3">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382" w:type="pct"/>
            <w:vAlign w:val="center"/>
          </w:tcPr>
          <w:p w14:paraId="07227DF8">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B单元组件</w:t>
            </w:r>
          </w:p>
        </w:tc>
        <w:tc>
          <w:tcPr>
            <w:tcW w:w="287" w:type="pct"/>
            <w:vAlign w:val="center"/>
          </w:tcPr>
          <w:p w14:paraId="528E5FD5">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件</w:t>
            </w:r>
          </w:p>
        </w:tc>
        <w:tc>
          <w:tcPr>
            <w:tcW w:w="2194" w:type="pct"/>
            <w:vAlign w:val="center"/>
          </w:tcPr>
          <w:p w14:paraId="0B77BD78">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1.结构框架采用优质碳钢管焊接而成，结构强度高，可靠性强；</w:t>
            </w:r>
          </w:p>
          <w:p w14:paraId="10C9D1B7">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2.带窗的板墙由两扇可以开启窗和固定门板组成，窗可以实现内外双向开启，最大开启角度0-180°，方向可调，实现对称互换性，安装便捷，维修更换方便；</w:t>
            </w:r>
          </w:p>
          <w:p w14:paraId="6F5B227C">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3.门板和窗分别采用4mm铝塑板和4mm有机玻璃板组合，更换及安装方便快捷；</w:t>
            </w:r>
          </w:p>
          <w:p w14:paraId="0AB465F8">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US" w:eastAsia="zh-CN"/>
              </w:rPr>
              <w:t>.每块门板配2个不锈钢拉手，方便安装搬运；</w:t>
            </w:r>
          </w:p>
          <w:p w14:paraId="53E83426">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.每块门板连接处采用插接式双向插接卡位，可单独拆卸，任意安装；</w:t>
            </w:r>
          </w:p>
          <w:p w14:paraId="336151B9">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.框架整体焊接后，表面喷涂颜色做防锈处理；</w:t>
            </w:r>
          </w:p>
          <w:p w14:paraId="7F0EFAF4">
            <w:pPr>
              <w:rPr>
                <w:rFonts w:hint="default"/>
                <w:color w:val="auto"/>
                <w:highlight w:val="none"/>
                <w:lang w:val="en-US" w:eastAsia="zh-CN"/>
              </w:rPr>
            </w:pPr>
            <w:r>
              <w:rPr>
                <w:rFonts w:hint="eastAsia" w:ascii="宋体" w:hAnsi="宋体" w:cs="宋体"/>
                <w:color w:val="auto"/>
                <w:sz w:val="18"/>
                <w:szCs w:val="18"/>
                <w:highlight w:val="none"/>
                <w:lang w:val="en-US" w:eastAsia="zh-CN"/>
              </w:rPr>
              <w:t>7</w:t>
            </w:r>
            <w:r>
              <w:rPr>
                <w:rFonts w:hint="eastAsia" w:ascii="宋体" w:hAnsi="宋体" w:eastAsia="宋体" w:cs="宋体"/>
                <w:color w:val="auto"/>
                <w:sz w:val="18"/>
                <w:szCs w:val="18"/>
                <w:highlight w:val="none"/>
                <w:lang w:val="en-US" w:eastAsia="zh-CN"/>
              </w:rPr>
              <w:t>.尺寸规格：2M*1M</w:t>
            </w:r>
          </w:p>
        </w:tc>
        <w:tc>
          <w:tcPr>
            <w:tcW w:w="662" w:type="pct"/>
            <w:vAlign w:val="center"/>
          </w:tcPr>
          <w:p w14:paraId="45110D70">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drawing>
                <wp:inline distT="0" distB="0" distL="114300" distR="114300">
                  <wp:extent cx="671195" cy="1273810"/>
                  <wp:effectExtent l="0" t="0" r="14605" b="254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0">
                            <a:lum/>
                          </a:blip>
                          <a:stretch>
                            <a:fillRect/>
                          </a:stretch>
                        </pic:blipFill>
                        <pic:spPr>
                          <a:xfrm>
                            <a:off x="0" y="0"/>
                            <a:ext cx="671195" cy="1273810"/>
                          </a:xfrm>
                          <a:prstGeom prst="rect">
                            <a:avLst/>
                          </a:prstGeom>
                          <a:noFill/>
                          <a:ln>
                            <a:noFill/>
                          </a:ln>
                        </pic:spPr>
                      </pic:pic>
                    </a:graphicData>
                  </a:graphic>
                </wp:inline>
              </w:drawing>
            </w:r>
          </w:p>
        </w:tc>
        <w:tc>
          <w:tcPr>
            <w:tcW w:w="306" w:type="pct"/>
            <w:vAlign w:val="center"/>
          </w:tcPr>
          <w:p w14:paraId="096EFFFB">
            <w:pPr>
              <w:pStyle w:val="17"/>
              <w:widowControl w:val="0"/>
              <w:numPr>
                <w:ilvl w:val="0"/>
                <w:numId w:val="0"/>
              </w:numPr>
              <w:ind w:left="0" w:leftChars="0" w:firstLine="0" w:firstLineChars="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443" w:type="pct"/>
            <w:vAlign w:val="center"/>
          </w:tcPr>
          <w:p w14:paraId="0190541E">
            <w:pPr>
              <w:widowControl/>
              <w:jc w:val="center"/>
              <w:textAlignment w:val="center"/>
              <w:rPr>
                <w:rFonts w:hint="default" w:ascii="宋体" w:hAnsi="宋体" w:eastAsia="宋体" w:cs="宋体"/>
                <w:color w:val="auto"/>
                <w:sz w:val="18"/>
                <w:szCs w:val="18"/>
                <w:highlight w:val="none"/>
                <w:lang w:val="en-US" w:eastAsia="zh-CN"/>
              </w:rPr>
            </w:pPr>
          </w:p>
        </w:tc>
        <w:tc>
          <w:tcPr>
            <w:tcW w:w="484" w:type="pct"/>
            <w:vAlign w:val="center"/>
          </w:tcPr>
          <w:p w14:paraId="16367A14">
            <w:pPr>
              <w:widowControl/>
              <w:jc w:val="right"/>
              <w:textAlignment w:val="center"/>
              <w:rPr>
                <w:rFonts w:hint="default" w:ascii="宋体" w:hAnsi="宋体" w:eastAsia="宋体" w:cs="宋体"/>
                <w:color w:val="auto"/>
                <w:sz w:val="18"/>
                <w:szCs w:val="18"/>
                <w:highlight w:val="none"/>
                <w:lang w:val="en-US" w:eastAsia="zh-CN"/>
              </w:rPr>
            </w:pPr>
          </w:p>
        </w:tc>
      </w:tr>
      <w:tr w14:paraId="5E1F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38" w:type="pct"/>
            <w:vAlign w:val="center"/>
          </w:tcPr>
          <w:p w14:paraId="044DE0A0">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382" w:type="pct"/>
            <w:vAlign w:val="center"/>
          </w:tcPr>
          <w:p w14:paraId="5A2F59B0">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C单元组件</w:t>
            </w:r>
          </w:p>
        </w:tc>
        <w:tc>
          <w:tcPr>
            <w:tcW w:w="287" w:type="pct"/>
            <w:vAlign w:val="center"/>
          </w:tcPr>
          <w:p w14:paraId="66969698">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件</w:t>
            </w:r>
          </w:p>
        </w:tc>
        <w:tc>
          <w:tcPr>
            <w:tcW w:w="2194" w:type="pct"/>
            <w:vAlign w:val="top"/>
          </w:tcPr>
          <w:p w14:paraId="70752B10">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1.结构框架采用优质碳钢管焊接而成，结构强度高，可靠性强；</w:t>
            </w:r>
          </w:p>
          <w:p w14:paraId="2163B25D">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2.带门的板墙可以实现内外双向开启，方向可调，实现对称互换性，安装便捷，维修更换方便；</w:t>
            </w:r>
          </w:p>
          <w:p w14:paraId="4A96E54B">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3.门板和窗采用4mm有机玻璃和4mm铝塑板组合，最大开启角度0-180°，可以实现透明效果和不透明组合更换，安装更换便捷；</w:t>
            </w:r>
          </w:p>
          <w:p w14:paraId="3F065DCA">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US" w:eastAsia="zh-CN"/>
              </w:rPr>
              <w:t>.门板配有可调节旋转限位板；</w:t>
            </w:r>
          </w:p>
          <w:p w14:paraId="0671A7D9">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5</w:t>
            </w:r>
            <w:r>
              <w:rPr>
                <w:rFonts w:hint="eastAsia" w:ascii="宋体" w:hAnsi="宋体" w:eastAsia="宋体" w:cs="宋体"/>
                <w:color w:val="auto"/>
                <w:sz w:val="18"/>
                <w:szCs w:val="18"/>
                <w:highlight w:val="none"/>
                <w:lang w:val="en-US" w:eastAsia="zh-CN"/>
              </w:rPr>
              <w:t>.每块门板连接处采用插接式双向插接卡位，可单独拆卸，任意安装；</w:t>
            </w:r>
          </w:p>
          <w:p w14:paraId="1FF43E46">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.门板底部撞击位置，设有撞击标识，破门而入时撞击可靠位置；</w:t>
            </w:r>
          </w:p>
          <w:p w14:paraId="520C767A">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r>
              <w:rPr>
                <w:rFonts w:hint="eastAsia" w:ascii="宋体" w:hAnsi="宋体" w:eastAsia="宋体" w:cs="宋体"/>
                <w:color w:val="auto"/>
                <w:sz w:val="18"/>
                <w:szCs w:val="18"/>
                <w:highlight w:val="none"/>
                <w:lang w:val="en-US" w:eastAsia="zh-CN"/>
              </w:rPr>
              <w:t>.框架整体焊接后，表面喷涂颜色做防锈处理；</w:t>
            </w:r>
          </w:p>
          <w:p w14:paraId="7F362728">
            <w:pPr>
              <w:rPr>
                <w:rFonts w:hint="default"/>
                <w:color w:val="auto"/>
                <w:highlight w:val="none"/>
                <w:lang w:val="en-US" w:eastAsia="zh-CN"/>
              </w:rPr>
            </w:pPr>
            <w:r>
              <w:rPr>
                <w:rFonts w:hint="eastAsia" w:ascii="宋体" w:hAnsi="宋体" w:cs="宋体"/>
                <w:color w:val="auto"/>
                <w:sz w:val="18"/>
                <w:szCs w:val="18"/>
                <w:highlight w:val="none"/>
                <w:lang w:val="en-US" w:eastAsia="zh-CN"/>
              </w:rPr>
              <w:t>8</w:t>
            </w:r>
            <w:r>
              <w:rPr>
                <w:rFonts w:hint="eastAsia" w:ascii="宋体" w:hAnsi="宋体" w:eastAsia="宋体" w:cs="宋体"/>
                <w:color w:val="auto"/>
                <w:sz w:val="18"/>
                <w:szCs w:val="18"/>
                <w:highlight w:val="none"/>
                <w:lang w:val="en-US" w:eastAsia="zh-CN"/>
              </w:rPr>
              <w:t>.尺寸规格：2M*1M</w:t>
            </w:r>
          </w:p>
        </w:tc>
        <w:tc>
          <w:tcPr>
            <w:tcW w:w="662" w:type="pct"/>
            <w:vAlign w:val="center"/>
          </w:tcPr>
          <w:p w14:paraId="29C8243C">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drawing>
                <wp:inline distT="0" distB="0" distL="114300" distR="114300">
                  <wp:extent cx="671195" cy="1196975"/>
                  <wp:effectExtent l="0" t="0" r="14605" b="317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1">
                            <a:lum/>
                          </a:blip>
                          <a:stretch>
                            <a:fillRect/>
                          </a:stretch>
                        </pic:blipFill>
                        <pic:spPr>
                          <a:xfrm>
                            <a:off x="0" y="0"/>
                            <a:ext cx="671195" cy="1196975"/>
                          </a:xfrm>
                          <a:prstGeom prst="rect">
                            <a:avLst/>
                          </a:prstGeom>
                          <a:noFill/>
                          <a:ln>
                            <a:noFill/>
                          </a:ln>
                        </pic:spPr>
                      </pic:pic>
                    </a:graphicData>
                  </a:graphic>
                </wp:inline>
              </w:drawing>
            </w:r>
          </w:p>
        </w:tc>
        <w:tc>
          <w:tcPr>
            <w:tcW w:w="306" w:type="pct"/>
            <w:vAlign w:val="center"/>
          </w:tcPr>
          <w:p w14:paraId="62BBA7AF">
            <w:pPr>
              <w:pStyle w:val="17"/>
              <w:widowControl w:val="0"/>
              <w:numPr>
                <w:ilvl w:val="0"/>
                <w:numId w:val="0"/>
              </w:numPr>
              <w:ind w:left="0" w:leftChars="0" w:firstLine="0" w:firstLineChars="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443" w:type="pct"/>
            <w:vAlign w:val="center"/>
          </w:tcPr>
          <w:p w14:paraId="1C0E3123">
            <w:pPr>
              <w:widowControl/>
              <w:jc w:val="center"/>
              <w:textAlignment w:val="center"/>
              <w:rPr>
                <w:rFonts w:hint="default" w:ascii="宋体" w:hAnsi="宋体" w:eastAsia="宋体" w:cs="宋体"/>
                <w:color w:val="auto"/>
                <w:sz w:val="18"/>
                <w:szCs w:val="18"/>
                <w:highlight w:val="none"/>
                <w:lang w:val="en-US" w:eastAsia="zh-CN"/>
              </w:rPr>
            </w:pPr>
          </w:p>
        </w:tc>
        <w:tc>
          <w:tcPr>
            <w:tcW w:w="484" w:type="pct"/>
            <w:vAlign w:val="center"/>
          </w:tcPr>
          <w:p w14:paraId="096D3520">
            <w:pPr>
              <w:widowControl/>
              <w:jc w:val="right"/>
              <w:textAlignment w:val="center"/>
              <w:rPr>
                <w:rFonts w:hint="default" w:ascii="宋体" w:hAnsi="宋体" w:eastAsia="宋体" w:cs="宋体"/>
                <w:color w:val="auto"/>
                <w:sz w:val="18"/>
                <w:szCs w:val="18"/>
                <w:highlight w:val="none"/>
                <w:lang w:val="en-US" w:eastAsia="zh-CN"/>
              </w:rPr>
            </w:pPr>
          </w:p>
        </w:tc>
      </w:tr>
      <w:tr w14:paraId="535B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38" w:type="pct"/>
            <w:vAlign w:val="center"/>
          </w:tcPr>
          <w:p w14:paraId="70390638">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382" w:type="pct"/>
            <w:vAlign w:val="center"/>
          </w:tcPr>
          <w:p w14:paraId="179115D0">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90°单元组件</w:t>
            </w:r>
          </w:p>
        </w:tc>
        <w:tc>
          <w:tcPr>
            <w:tcW w:w="287" w:type="pct"/>
            <w:vAlign w:val="center"/>
          </w:tcPr>
          <w:p w14:paraId="6B703590">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件</w:t>
            </w:r>
          </w:p>
        </w:tc>
        <w:tc>
          <w:tcPr>
            <w:tcW w:w="2194" w:type="pct"/>
            <w:vAlign w:val="top"/>
          </w:tcPr>
          <w:p w14:paraId="52543607">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1.结构框架采用优质碳钢管焊接而成，结构强度高，可靠性强；</w:t>
            </w:r>
          </w:p>
          <w:p w14:paraId="65A9BA75">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.每个立柱连接处采用挂钩式双向插接卡位，材料优质碳钢板；</w:t>
            </w:r>
          </w:p>
          <w:p w14:paraId="2FF36B1C">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.90°单元组件可以实现拐角两两插接固定衔接，上下方向可以调节，每块立柱可以实现单独拆卸，更换和变换布局更加灵活；</w:t>
            </w:r>
          </w:p>
          <w:p w14:paraId="6420C70C">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US" w:eastAsia="zh-CN"/>
              </w:rPr>
              <w:t>.框架整体焊接后，表面喷涂颜色做防锈处理；</w:t>
            </w:r>
          </w:p>
        </w:tc>
        <w:tc>
          <w:tcPr>
            <w:tcW w:w="662" w:type="pct"/>
            <w:vAlign w:val="center"/>
          </w:tcPr>
          <w:p w14:paraId="01B9A8A8">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drawing>
                <wp:inline distT="0" distB="0" distL="114300" distR="114300">
                  <wp:extent cx="187960" cy="807720"/>
                  <wp:effectExtent l="0" t="0" r="2540" b="1143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2">
                            <a:lum/>
                          </a:blip>
                          <a:stretch>
                            <a:fillRect/>
                          </a:stretch>
                        </pic:blipFill>
                        <pic:spPr>
                          <a:xfrm flipH="1">
                            <a:off x="0" y="0"/>
                            <a:ext cx="187960" cy="807720"/>
                          </a:xfrm>
                          <a:prstGeom prst="rect">
                            <a:avLst/>
                          </a:prstGeom>
                          <a:noFill/>
                          <a:ln>
                            <a:noFill/>
                          </a:ln>
                        </pic:spPr>
                      </pic:pic>
                    </a:graphicData>
                  </a:graphic>
                </wp:inline>
              </w:drawing>
            </w:r>
          </w:p>
        </w:tc>
        <w:tc>
          <w:tcPr>
            <w:tcW w:w="306" w:type="pct"/>
            <w:vAlign w:val="center"/>
          </w:tcPr>
          <w:p w14:paraId="3E80EB16">
            <w:pPr>
              <w:pStyle w:val="17"/>
              <w:widowControl w:val="0"/>
              <w:numPr>
                <w:ilvl w:val="0"/>
                <w:numId w:val="0"/>
              </w:numPr>
              <w:ind w:left="0" w:leftChars="0" w:firstLine="0" w:firstLineChars="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443" w:type="pct"/>
            <w:vAlign w:val="center"/>
          </w:tcPr>
          <w:p w14:paraId="0BD0EFE9">
            <w:pPr>
              <w:widowControl/>
              <w:jc w:val="center"/>
              <w:textAlignment w:val="center"/>
              <w:rPr>
                <w:rFonts w:hint="default" w:ascii="宋体" w:hAnsi="宋体" w:eastAsia="宋体" w:cs="宋体"/>
                <w:color w:val="auto"/>
                <w:sz w:val="18"/>
                <w:szCs w:val="18"/>
                <w:highlight w:val="none"/>
                <w:lang w:val="en-US" w:eastAsia="zh-CN"/>
              </w:rPr>
            </w:pPr>
          </w:p>
        </w:tc>
        <w:tc>
          <w:tcPr>
            <w:tcW w:w="484" w:type="pct"/>
            <w:vAlign w:val="center"/>
          </w:tcPr>
          <w:p w14:paraId="2AA8DAF2">
            <w:pPr>
              <w:widowControl/>
              <w:jc w:val="right"/>
              <w:textAlignment w:val="center"/>
              <w:rPr>
                <w:rFonts w:hint="default" w:ascii="宋体" w:hAnsi="宋体" w:eastAsia="宋体" w:cs="宋体"/>
                <w:color w:val="auto"/>
                <w:sz w:val="18"/>
                <w:szCs w:val="18"/>
                <w:highlight w:val="none"/>
                <w:lang w:val="en-US" w:eastAsia="zh-CN"/>
              </w:rPr>
            </w:pPr>
          </w:p>
        </w:tc>
      </w:tr>
      <w:tr w14:paraId="14DA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38" w:type="pct"/>
            <w:vAlign w:val="center"/>
          </w:tcPr>
          <w:p w14:paraId="53C5B1E2">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382" w:type="pct"/>
            <w:vAlign w:val="center"/>
          </w:tcPr>
          <w:p w14:paraId="7049199C">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180°单元组件</w:t>
            </w:r>
          </w:p>
        </w:tc>
        <w:tc>
          <w:tcPr>
            <w:tcW w:w="287" w:type="pct"/>
            <w:vAlign w:val="center"/>
          </w:tcPr>
          <w:p w14:paraId="5938D781">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件</w:t>
            </w:r>
          </w:p>
        </w:tc>
        <w:tc>
          <w:tcPr>
            <w:tcW w:w="2194" w:type="pct"/>
            <w:vAlign w:val="top"/>
          </w:tcPr>
          <w:p w14:paraId="117707E1">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1.结构框架采用优质碳钢管焊接而成，结构强度高，可靠性强；</w:t>
            </w:r>
          </w:p>
          <w:p w14:paraId="0D892F35">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r>
              <w:rPr>
                <w:rFonts w:hint="eastAsia" w:ascii="宋体" w:hAnsi="宋体" w:eastAsia="宋体" w:cs="宋体"/>
                <w:color w:val="auto"/>
                <w:sz w:val="18"/>
                <w:szCs w:val="18"/>
                <w:highlight w:val="none"/>
                <w:lang w:val="en-US" w:eastAsia="zh-CN"/>
              </w:rPr>
              <w:t>.每个立柱连接处采用挂钩式双向插接卡位，材料优质碳钢板；</w:t>
            </w:r>
          </w:p>
          <w:p w14:paraId="17340212">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.180°单元组件可以实现拐角3扇门板插接固定衔接，每块立柱可以实现单独拆卸，更换和变换布局更加灵活；</w:t>
            </w:r>
          </w:p>
          <w:p w14:paraId="50C8DB92">
            <w:pPr>
              <w:pStyle w:val="17"/>
              <w:widowControl w:val="0"/>
              <w:numPr>
                <w:ilvl w:val="0"/>
                <w:numId w:val="0"/>
              </w:numPr>
              <w:ind w:left="0" w:leftChars="0" w:firstLine="0" w:firstLineChars="0"/>
              <w:jc w:val="left"/>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r>
              <w:rPr>
                <w:rFonts w:hint="eastAsia" w:ascii="宋体" w:hAnsi="宋体" w:eastAsia="宋体" w:cs="宋体"/>
                <w:color w:val="auto"/>
                <w:sz w:val="18"/>
                <w:szCs w:val="18"/>
                <w:highlight w:val="none"/>
                <w:lang w:val="en-US" w:eastAsia="zh-CN"/>
              </w:rPr>
              <w:t>.框架整体焊接后，表面喷涂颜色做防锈处理；</w:t>
            </w:r>
          </w:p>
        </w:tc>
        <w:tc>
          <w:tcPr>
            <w:tcW w:w="662" w:type="pct"/>
            <w:vAlign w:val="center"/>
          </w:tcPr>
          <w:p w14:paraId="47113BD4">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drawing>
                <wp:inline distT="0" distB="0" distL="114300" distR="114300">
                  <wp:extent cx="264795" cy="764540"/>
                  <wp:effectExtent l="0" t="0" r="1905" b="1651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3">
                            <a:lum/>
                          </a:blip>
                          <a:stretch>
                            <a:fillRect/>
                          </a:stretch>
                        </pic:blipFill>
                        <pic:spPr>
                          <a:xfrm>
                            <a:off x="0" y="0"/>
                            <a:ext cx="264795" cy="764540"/>
                          </a:xfrm>
                          <a:prstGeom prst="rect">
                            <a:avLst/>
                          </a:prstGeom>
                          <a:noFill/>
                          <a:ln>
                            <a:noFill/>
                          </a:ln>
                        </pic:spPr>
                      </pic:pic>
                    </a:graphicData>
                  </a:graphic>
                </wp:inline>
              </w:drawing>
            </w:r>
          </w:p>
        </w:tc>
        <w:tc>
          <w:tcPr>
            <w:tcW w:w="306" w:type="pct"/>
            <w:vAlign w:val="center"/>
          </w:tcPr>
          <w:p w14:paraId="61AC5B1C">
            <w:pPr>
              <w:pStyle w:val="17"/>
              <w:widowControl w:val="0"/>
              <w:numPr>
                <w:ilvl w:val="0"/>
                <w:numId w:val="0"/>
              </w:numPr>
              <w:ind w:left="0" w:leftChars="0" w:firstLine="0" w:firstLineChars="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443" w:type="pct"/>
            <w:vAlign w:val="center"/>
          </w:tcPr>
          <w:p w14:paraId="27E3CFD8">
            <w:pPr>
              <w:widowControl/>
              <w:jc w:val="center"/>
              <w:textAlignment w:val="center"/>
              <w:rPr>
                <w:rFonts w:hint="default" w:ascii="宋体" w:hAnsi="宋体" w:eastAsia="宋体" w:cs="宋体"/>
                <w:color w:val="auto"/>
                <w:sz w:val="18"/>
                <w:szCs w:val="18"/>
                <w:highlight w:val="none"/>
                <w:lang w:val="en-US" w:eastAsia="zh-CN"/>
              </w:rPr>
            </w:pPr>
          </w:p>
        </w:tc>
        <w:tc>
          <w:tcPr>
            <w:tcW w:w="484" w:type="pct"/>
            <w:vAlign w:val="center"/>
          </w:tcPr>
          <w:p w14:paraId="1DBE8647">
            <w:pPr>
              <w:widowControl/>
              <w:jc w:val="right"/>
              <w:textAlignment w:val="center"/>
              <w:rPr>
                <w:rFonts w:hint="default" w:ascii="宋体" w:hAnsi="宋体" w:eastAsia="宋体" w:cs="宋体"/>
                <w:color w:val="auto"/>
                <w:sz w:val="18"/>
                <w:szCs w:val="18"/>
                <w:highlight w:val="none"/>
                <w:lang w:val="en-US" w:eastAsia="zh-CN"/>
              </w:rPr>
            </w:pPr>
          </w:p>
        </w:tc>
      </w:tr>
      <w:tr w14:paraId="5D77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38" w:type="pct"/>
            <w:vAlign w:val="center"/>
          </w:tcPr>
          <w:p w14:paraId="1E2DCD73">
            <w:pPr>
              <w:pStyle w:val="17"/>
              <w:widowControl w:val="0"/>
              <w:numPr>
                <w:ilvl w:val="0"/>
                <w:numId w:val="0"/>
              </w:numPr>
              <w:ind w:left="0" w:leftChars="0" w:firstLine="0" w:firstLineChars="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382" w:type="pct"/>
            <w:vAlign w:val="center"/>
          </w:tcPr>
          <w:p w14:paraId="758BC508">
            <w:pPr>
              <w:pStyle w:val="17"/>
              <w:widowControl w:val="0"/>
              <w:numPr>
                <w:ilvl w:val="0"/>
                <w:numId w:val="0"/>
              </w:numPr>
              <w:ind w:left="0" w:leftChars="0" w:firstLine="0" w:firstLineChars="0"/>
              <w:jc w:val="center"/>
              <w:rPr>
                <w:rFonts w:hint="default" w:ascii="宋体" w:hAnsi="宋体" w:eastAsia="宋体" w:cs="宋体"/>
                <w:color w:val="auto"/>
                <w:sz w:val="18"/>
                <w:szCs w:val="18"/>
                <w:highlight w:val="none"/>
                <w:lang w:val="en-US" w:eastAsia="zh-CN"/>
              </w:rPr>
            </w:pPr>
            <w:r>
              <w:rPr>
                <w:rFonts w:hint="eastAsia"/>
                <w:color w:val="auto"/>
                <w:highlight w:val="none"/>
                <w:lang w:val="en-US" w:eastAsia="zh-CN"/>
              </w:rPr>
              <w:t>休息观摩棚</w:t>
            </w:r>
          </w:p>
        </w:tc>
        <w:tc>
          <w:tcPr>
            <w:tcW w:w="287" w:type="pct"/>
            <w:vAlign w:val="center"/>
          </w:tcPr>
          <w:p w14:paraId="48BF7039">
            <w:pPr>
              <w:pStyle w:val="17"/>
              <w:widowControl w:val="0"/>
              <w:numPr>
                <w:ilvl w:val="0"/>
                <w:numId w:val="0"/>
              </w:numPr>
              <w:ind w:left="0" w:leftChars="0" w:firstLine="0" w:firstLineChars="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套</w:t>
            </w:r>
          </w:p>
        </w:tc>
        <w:tc>
          <w:tcPr>
            <w:tcW w:w="2194" w:type="pct"/>
            <w:vAlign w:val="center"/>
          </w:tcPr>
          <w:p w14:paraId="4CB2D3A7">
            <w:pPr>
              <w:pStyle w:val="17"/>
              <w:widowControl w:val="0"/>
              <w:numPr>
                <w:ilvl w:val="0"/>
                <w:numId w:val="0"/>
              </w:numPr>
              <w:ind w:left="0" w:leftChars="0" w:firstLine="0" w:firstLineChars="0"/>
              <w:jc w:val="left"/>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18m长、3m宽钢混结构，含基础安装和整体交付</w:t>
            </w:r>
          </w:p>
        </w:tc>
        <w:tc>
          <w:tcPr>
            <w:tcW w:w="662" w:type="pct"/>
            <w:vAlign w:val="center"/>
          </w:tcPr>
          <w:p w14:paraId="37C2F865">
            <w:pPr>
              <w:pStyle w:val="17"/>
              <w:widowControl w:val="0"/>
              <w:numPr>
                <w:ilvl w:val="0"/>
                <w:numId w:val="0"/>
              </w:numPr>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drawing>
                <wp:inline distT="0" distB="0" distL="114300" distR="114300">
                  <wp:extent cx="647700" cy="478155"/>
                  <wp:effectExtent l="0" t="0" r="0" b="1714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4">
                            <a:lum/>
                          </a:blip>
                          <a:stretch>
                            <a:fillRect/>
                          </a:stretch>
                        </pic:blipFill>
                        <pic:spPr>
                          <a:xfrm>
                            <a:off x="0" y="0"/>
                            <a:ext cx="647700" cy="478155"/>
                          </a:xfrm>
                          <a:prstGeom prst="rect">
                            <a:avLst/>
                          </a:prstGeom>
                          <a:noFill/>
                          <a:ln>
                            <a:noFill/>
                          </a:ln>
                        </pic:spPr>
                      </pic:pic>
                    </a:graphicData>
                  </a:graphic>
                </wp:inline>
              </w:drawing>
            </w:r>
          </w:p>
        </w:tc>
        <w:tc>
          <w:tcPr>
            <w:tcW w:w="306" w:type="pct"/>
            <w:vAlign w:val="center"/>
          </w:tcPr>
          <w:p w14:paraId="2E1ECE77">
            <w:pPr>
              <w:pStyle w:val="17"/>
              <w:widowControl w:val="0"/>
              <w:numPr>
                <w:ilvl w:val="0"/>
                <w:numId w:val="0"/>
              </w:numPr>
              <w:ind w:left="0" w:leftChars="0" w:firstLine="0" w:firstLineChars="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443" w:type="pct"/>
            <w:vAlign w:val="center"/>
          </w:tcPr>
          <w:p w14:paraId="7CE1CA7E">
            <w:pPr>
              <w:widowControl/>
              <w:ind w:left="0" w:leftChars="0" w:right="0"/>
              <w:jc w:val="center"/>
              <w:textAlignment w:val="center"/>
              <w:rPr>
                <w:rFonts w:hint="default" w:ascii="宋体" w:hAnsi="宋体" w:eastAsia="宋体" w:cs="宋体"/>
                <w:color w:val="auto"/>
                <w:sz w:val="18"/>
                <w:szCs w:val="18"/>
                <w:highlight w:val="none"/>
                <w:lang w:val="en-US" w:eastAsia="zh-CN"/>
              </w:rPr>
            </w:pPr>
          </w:p>
        </w:tc>
        <w:tc>
          <w:tcPr>
            <w:tcW w:w="484" w:type="pct"/>
            <w:vAlign w:val="center"/>
          </w:tcPr>
          <w:p w14:paraId="2D2ECC59">
            <w:pPr>
              <w:widowControl/>
              <w:ind w:left="0" w:leftChars="0" w:right="0"/>
              <w:jc w:val="right"/>
              <w:textAlignment w:val="center"/>
              <w:rPr>
                <w:rFonts w:hint="default" w:ascii="宋体" w:hAnsi="宋体" w:eastAsia="宋体" w:cs="宋体"/>
                <w:color w:val="auto"/>
                <w:sz w:val="18"/>
                <w:szCs w:val="18"/>
                <w:highlight w:val="none"/>
                <w:lang w:val="en-US" w:eastAsia="zh-CN"/>
              </w:rPr>
            </w:pPr>
          </w:p>
        </w:tc>
      </w:tr>
      <w:tr w14:paraId="7D84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38" w:type="pct"/>
            <w:vAlign w:val="center"/>
          </w:tcPr>
          <w:p w14:paraId="3D782FF6">
            <w:pPr>
              <w:pStyle w:val="17"/>
              <w:widowControl w:val="0"/>
              <w:numPr>
                <w:ilvl w:val="0"/>
                <w:numId w:val="0"/>
              </w:numPr>
              <w:ind w:left="0" w:leftChars="0" w:firstLine="0" w:firstLineChars="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p>
        </w:tc>
        <w:tc>
          <w:tcPr>
            <w:tcW w:w="382" w:type="pct"/>
            <w:vAlign w:val="center"/>
          </w:tcPr>
          <w:p w14:paraId="61296540">
            <w:pPr>
              <w:pStyle w:val="17"/>
              <w:widowControl w:val="0"/>
              <w:numPr>
                <w:ilvl w:val="0"/>
                <w:numId w:val="0"/>
              </w:numPr>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模拟街区房屋修补和内部改造</w:t>
            </w:r>
          </w:p>
        </w:tc>
        <w:tc>
          <w:tcPr>
            <w:tcW w:w="287" w:type="pct"/>
            <w:vAlign w:val="center"/>
          </w:tcPr>
          <w:p w14:paraId="01D11CAA">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m2</w:t>
            </w:r>
          </w:p>
        </w:tc>
        <w:tc>
          <w:tcPr>
            <w:tcW w:w="2194" w:type="pct"/>
            <w:vAlign w:val="center"/>
          </w:tcPr>
          <w:p w14:paraId="31698E36">
            <w:pPr>
              <w:widowControl/>
              <w:jc w:val="left"/>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30mm厚干硬性水泥砂浆粘结层;800*800地砖;白水泥擦缝</w:t>
            </w:r>
          </w:p>
        </w:tc>
        <w:tc>
          <w:tcPr>
            <w:tcW w:w="662" w:type="pct"/>
            <w:vAlign w:val="center"/>
          </w:tcPr>
          <w:p w14:paraId="1E456671">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地砖</w:t>
            </w:r>
          </w:p>
        </w:tc>
        <w:tc>
          <w:tcPr>
            <w:tcW w:w="306" w:type="pct"/>
            <w:vAlign w:val="center"/>
          </w:tcPr>
          <w:p w14:paraId="22598A65">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36.4</w:t>
            </w:r>
          </w:p>
        </w:tc>
        <w:tc>
          <w:tcPr>
            <w:tcW w:w="443" w:type="pct"/>
            <w:vAlign w:val="center"/>
          </w:tcPr>
          <w:p w14:paraId="520F2AFC">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484" w:type="pct"/>
            <w:vAlign w:val="center"/>
          </w:tcPr>
          <w:p w14:paraId="3F02AAC8">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r>
      <w:tr w14:paraId="5992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38" w:type="pct"/>
            <w:vAlign w:val="center"/>
          </w:tcPr>
          <w:p w14:paraId="51D93986">
            <w:pPr>
              <w:pStyle w:val="17"/>
              <w:widowControl w:val="0"/>
              <w:numPr>
                <w:ilvl w:val="0"/>
                <w:numId w:val="0"/>
              </w:numPr>
              <w:ind w:left="0" w:leftChars="0" w:firstLine="0" w:firstLineChars="0"/>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p>
        </w:tc>
        <w:tc>
          <w:tcPr>
            <w:tcW w:w="382" w:type="pct"/>
            <w:vAlign w:val="center"/>
          </w:tcPr>
          <w:p w14:paraId="1D3399B5">
            <w:pPr>
              <w:pStyle w:val="17"/>
              <w:widowControl w:val="0"/>
              <w:numPr>
                <w:ilvl w:val="0"/>
                <w:numId w:val="0"/>
              </w:numPr>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模拟街区房屋修补和内部改造</w:t>
            </w:r>
          </w:p>
        </w:tc>
        <w:tc>
          <w:tcPr>
            <w:tcW w:w="287" w:type="pct"/>
            <w:vAlign w:val="center"/>
          </w:tcPr>
          <w:p w14:paraId="4E5D5546">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m2</w:t>
            </w:r>
          </w:p>
        </w:tc>
        <w:tc>
          <w:tcPr>
            <w:tcW w:w="2194" w:type="pct"/>
            <w:vAlign w:val="center"/>
          </w:tcPr>
          <w:p w14:paraId="5D0C6E53">
            <w:pPr>
              <w:widowControl/>
              <w:jc w:val="left"/>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原墙面乳胶漆铲除</w:t>
            </w:r>
          </w:p>
        </w:tc>
        <w:tc>
          <w:tcPr>
            <w:tcW w:w="662" w:type="pct"/>
            <w:vAlign w:val="center"/>
          </w:tcPr>
          <w:p w14:paraId="261F849F">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铲除涂料</w:t>
            </w:r>
          </w:p>
        </w:tc>
        <w:tc>
          <w:tcPr>
            <w:tcW w:w="306" w:type="pct"/>
            <w:vAlign w:val="center"/>
          </w:tcPr>
          <w:p w14:paraId="1847A9A9">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67.76</w:t>
            </w:r>
          </w:p>
        </w:tc>
        <w:tc>
          <w:tcPr>
            <w:tcW w:w="443" w:type="pct"/>
            <w:vAlign w:val="center"/>
          </w:tcPr>
          <w:p w14:paraId="2AE6E62A">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484" w:type="pct"/>
            <w:vAlign w:val="center"/>
          </w:tcPr>
          <w:p w14:paraId="6112268A">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r>
      <w:tr w14:paraId="2965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38" w:type="pct"/>
            <w:vAlign w:val="center"/>
          </w:tcPr>
          <w:p w14:paraId="1C08BCDF">
            <w:pPr>
              <w:pStyle w:val="17"/>
              <w:widowControl w:val="0"/>
              <w:numPr>
                <w:ilvl w:val="0"/>
                <w:numId w:val="0"/>
              </w:numPr>
              <w:ind w:left="0" w:leftChars="0" w:firstLine="0" w:firstLineChars="0"/>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9</w:t>
            </w:r>
          </w:p>
        </w:tc>
        <w:tc>
          <w:tcPr>
            <w:tcW w:w="382" w:type="pct"/>
            <w:vAlign w:val="center"/>
          </w:tcPr>
          <w:p w14:paraId="0ECF9996">
            <w:pPr>
              <w:pStyle w:val="17"/>
              <w:widowControl w:val="0"/>
              <w:numPr>
                <w:ilvl w:val="0"/>
                <w:numId w:val="0"/>
              </w:numPr>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模拟街区房屋修补和内部改造</w:t>
            </w:r>
          </w:p>
        </w:tc>
        <w:tc>
          <w:tcPr>
            <w:tcW w:w="287" w:type="pct"/>
            <w:vAlign w:val="center"/>
          </w:tcPr>
          <w:p w14:paraId="55D70711">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m2</w:t>
            </w:r>
          </w:p>
        </w:tc>
        <w:tc>
          <w:tcPr>
            <w:tcW w:w="2194" w:type="pct"/>
            <w:vAlign w:val="center"/>
          </w:tcPr>
          <w:p w14:paraId="7013AB8A">
            <w:pPr>
              <w:widowControl/>
              <w:jc w:val="left"/>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墙面:三遍刮腻子找平;乳胶漆三度(封底漆一道);</w:t>
            </w:r>
          </w:p>
        </w:tc>
        <w:tc>
          <w:tcPr>
            <w:tcW w:w="662" w:type="pct"/>
            <w:vAlign w:val="center"/>
          </w:tcPr>
          <w:p w14:paraId="69FE4F92">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墙面乳胶漆</w:t>
            </w:r>
          </w:p>
        </w:tc>
        <w:tc>
          <w:tcPr>
            <w:tcW w:w="306" w:type="pct"/>
            <w:vAlign w:val="center"/>
          </w:tcPr>
          <w:p w14:paraId="3070AD53">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67.76</w:t>
            </w:r>
          </w:p>
        </w:tc>
        <w:tc>
          <w:tcPr>
            <w:tcW w:w="443" w:type="pct"/>
            <w:vAlign w:val="center"/>
          </w:tcPr>
          <w:p w14:paraId="04CE8C5C">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484" w:type="pct"/>
            <w:vAlign w:val="center"/>
          </w:tcPr>
          <w:p w14:paraId="239CA734">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r>
      <w:tr w14:paraId="342F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38" w:type="pct"/>
            <w:vAlign w:val="center"/>
          </w:tcPr>
          <w:p w14:paraId="3798B4B2">
            <w:pPr>
              <w:pStyle w:val="17"/>
              <w:widowControl w:val="0"/>
              <w:numPr>
                <w:ilvl w:val="0"/>
                <w:numId w:val="0"/>
              </w:numPr>
              <w:ind w:left="0" w:leftChars="0" w:firstLine="0" w:firstLineChars="0"/>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10</w:t>
            </w:r>
          </w:p>
        </w:tc>
        <w:tc>
          <w:tcPr>
            <w:tcW w:w="382" w:type="pct"/>
            <w:vAlign w:val="center"/>
          </w:tcPr>
          <w:p w14:paraId="28F33397">
            <w:pPr>
              <w:pStyle w:val="17"/>
              <w:widowControl w:val="0"/>
              <w:numPr>
                <w:ilvl w:val="0"/>
                <w:numId w:val="0"/>
              </w:numPr>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模拟街区房屋修补和内部改造</w:t>
            </w:r>
          </w:p>
        </w:tc>
        <w:tc>
          <w:tcPr>
            <w:tcW w:w="287" w:type="pct"/>
            <w:vAlign w:val="center"/>
          </w:tcPr>
          <w:p w14:paraId="480937F6">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m</w:t>
            </w:r>
          </w:p>
        </w:tc>
        <w:tc>
          <w:tcPr>
            <w:tcW w:w="2194" w:type="pct"/>
            <w:vAlign w:val="center"/>
          </w:tcPr>
          <w:p w14:paraId="64DEC5DC">
            <w:pPr>
              <w:widowControl/>
              <w:jc w:val="left"/>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2-3厚建筑陶瓷粘结剂;100mm瓷砖踢脚线安装(专用胶收口);</w:t>
            </w:r>
          </w:p>
        </w:tc>
        <w:tc>
          <w:tcPr>
            <w:tcW w:w="662" w:type="pct"/>
            <w:vAlign w:val="center"/>
          </w:tcPr>
          <w:p w14:paraId="09B2B0C8">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地砖踢脚线</w:t>
            </w:r>
          </w:p>
        </w:tc>
        <w:tc>
          <w:tcPr>
            <w:tcW w:w="306" w:type="pct"/>
            <w:vAlign w:val="center"/>
          </w:tcPr>
          <w:p w14:paraId="00C54EB5">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24.2</w:t>
            </w:r>
          </w:p>
        </w:tc>
        <w:tc>
          <w:tcPr>
            <w:tcW w:w="443" w:type="pct"/>
            <w:vAlign w:val="center"/>
          </w:tcPr>
          <w:p w14:paraId="40750511">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484" w:type="pct"/>
            <w:vAlign w:val="center"/>
          </w:tcPr>
          <w:p w14:paraId="7056F3BD">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r>
      <w:tr w14:paraId="31BF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38" w:type="pct"/>
            <w:vAlign w:val="center"/>
          </w:tcPr>
          <w:p w14:paraId="5A3F164C">
            <w:pPr>
              <w:pStyle w:val="17"/>
              <w:widowControl w:val="0"/>
              <w:numPr>
                <w:ilvl w:val="0"/>
                <w:numId w:val="0"/>
              </w:numPr>
              <w:ind w:left="0" w:leftChars="0" w:firstLine="0" w:firstLineChars="0"/>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11</w:t>
            </w:r>
          </w:p>
        </w:tc>
        <w:tc>
          <w:tcPr>
            <w:tcW w:w="382" w:type="pct"/>
            <w:vAlign w:val="center"/>
          </w:tcPr>
          <w:p w14:paraId="52404925">
            <w:pPr>
              <w:pStyle w:val="17"/>
              <w:widowControl w:val="0"/>
              <w:numPr>
                <w:ilvl w:val="0"/>
                <w:numId w:val="0"/>
              </w:numPr>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模拟街区房屋修补和内部改造</w:t>
            </w:r>
          </w:p>
        </w:tc>
        <w:tc>
          <w:tcPr>
            <w:tcW w:w="287" w:type="pct"/>
            <w:vAlign w:val="center"/>
          </w:tcPr>
          <w:p w14:paraId="7DF6826C">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项</w:t>
            </w:r>
          </w:p>
        </w:tc>
        <w:tc>
          <w:tcPr>
            <w:tcW w:w="2194" w:type="pct"/>
            <w:vAlign w:val="center"/>
          </w:tcPr>
          <w:p w14:paraId="27499242">
            <w:pPr>
              <w:jc w:val="left"/>
              <w:rPr>
                <w:rFonts w:hint="eastAsia" w:ascii="宋体" w:hAnsi="宋体" w:cs="宋体"/>
                <w:color w:val="auto"/>
                <w:sz w:val="18"/>
                <w:szCs w:val="18"/>
                <w:highlight w:val="none"/>
                <w:lang w:val="en-US" w:eastAsia="zh-CN"/>
              </w:rPr>
            </w:pPr>
          </w:p>
        </w:tc>
        <w:tc>
          <w:tcPr>
            <w:tcW w:w="662" w:type="pct"/>
            <w:vAlign w:val="center"/>
          </w:tcPr>
          <w:p w14:paraId="60FD0A01">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改木门</w:t>
            </w:r>
          </w:p>
        </w:tc>
        <w:tc>
          <w:tcPr>
            <w:tcW w:w="306" w:type="pct"/>
            <w:vAlign w:val="center"/>
          </w:tcPr>
          <w:p w14:paraId="27C12283">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1</w:t>
            </w:r>
          </w:p>
        </w:tc>
        <w:tc>
          <w:tcPr>
            <w:tcW w:w="443" w:type="pct"/>
            <w:vAlign w:val="center"/>
          </w:tcPr>
          <w:p w14:paraId="77AA308F">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484" w:type="pct"/>
            <w:vAlign w:val="center"/>
          </w:tcPr>
          <w:p w14:paraId="5281C40F">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r>
      <w:tr w14:paraId="66EC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38" w:type="pct"/>
            <w:vAlign w:val="center"/>
          </w:tcPr>
          <w:p w14:paraId="7F55EDD2">
            <w:pPr>
              <w:pStyle w:val="17"/>
              <w:widowControl w:val="0"/>
              <w:numPr>
                <w:ilvl w:val="0"/>
                <w:numId w:val="0"/>
              </w:numPr>
              <w:ind w:left="0" w:leftChars="0" w:firstLine="0" w:firstLineChars="0"/>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12</w:t>
            </w:r>
          </w:p>
        </w:tc>
        <w:tc>
          <w:tcPr>
            <w:tcW w:w="382" w:type="pct"/>
            <w:vAlign w:val="center"/>
          </w:tcPr>
          <w:p w14:paraId="0A04B265">
            <w:pPr>
              <w:pStyle w:val="17"/>
              <w:widowControl w:val="0"/>
              <w:numPr>
                <w:ilvl w:val="0"/>
                <w:numId w:val="0"/>
              </w:numPr>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模拟街区房屋修补和内部改造</w:t>
            </w:r>
          </w:p>
        </w:tc>
        <w:tc>
          <w:tcPr>
            <w:tcW w:w="287" w:type="pct"/>
            <w:vAlign w:val="center"/>
          </w:tcPr>
          <w:p w14:paraId="11F27A74">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项</w:t>
            </w:r>
          </w:p>
        </w:tc>
        <w:tc>
          <w:tcPr>
            <w:tcW w:w="2194" w:type="pct"/>
            <w:vAlign w:val="center"/>
          </w:tcPr>
          <w:p w14:paraId="5C0BB866">
            <w:pPr>
              <w:widowControl/>
              <w:jc w:val="left"/>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服务台拆除：3.8*0.681.05及拆除垃圾外运</w:t>
            </w:r>
          </w:p>
        </w:tc>
        <w:tc>
          <w:tcPr>
            <w:tcW w:w="662" w:type="pct"/>
            <w:vAlign w:val="center"/>
          </w:tcPr>
          <w:p w14:paraId="3F97D180">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服务台拆除</w:t>
            </w:r>
          </w:p>
        </w:tc>
        <w:tc>
          <w:tcPr>
            <w:tcW w:w="306" w:type="pct"/>
            <w:vAlign w:val="center"/>
          </w:tcPr>
          <w:p w14:paraId="1A08652A">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1</w:t>
            </w:r>
          </w:p>
        </w:tc>
        <w:tc>
          <w:tcPr>
            <w:tcW w:w="443" w:type="pct"/>
            <w:vAlign w:val="center"/>
          </w:tcPr>
          <w:p w14:paraId="0B76A367">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484" w:type="pct"/>
            <w:vAlign w:val="center"/>
          </w:tcPr>
          <w:p w14:paraId="05999D4B">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r>
      <w:tr w14:paraId="0B9A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38" w:type="pct"/>
            <w:vAlign w:val="center"/>
          </w:tcPr>
          <w:p w14:paraId="299ED621">
            <w:pPr>
              <w:pStyle w:val="17"/>
              <w:widowControl w:val="0"/>
              <w:numPr>
                <w:ilvl w:val="0"/>
                <w:numId w:val="0"/>
              </w:numPr>
              <w:ind w:left="0" w:leftChars="0" w:firstLine="0" w:firstLineChars="0"/>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13</w:t>
            </w:r>
          </w:p>
        </w:tc>
        <w:tc>
          <w:tcPr>
            <w:tcW w:w="382" w:type="pct"/>
            <w:vAlign w:val="center"/>
          </w:tcPr>
          <w:p w14:paraId="7FF2E548">
            <w:pPr>
              <w:pStyle w:val="17"/>
              <w:widowControl w:val="0"/>
              <w:numPr>
                <w:ilvl w:val="0"/>
                <w:numId w:val="0"/>
              </w:numPr>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模拟街区房屋修补和内部改造</w:t>
            </w:r>
          </w:p>
        </w:tc>
        <w:tc>
          <w:tcPr>
            <w:tcW w:w="287" w:type="pct"/>
            <w:vAlign w:val="center"/>
          </w:tcPr>
          <w:p w14:paraId="732F7958">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项</w:t>
            </w:r>
          </w:p>
        </w:tc>
        <w:tc>
          <w:tcPr>
            <w:tcW w:w="2194" w:type="pct"/>
            <w:vAlign w:val="center"/>
          </w:tcPr>
          <w:p w14:paraId="62CEC637">
            <w:pPr>
              <w:widowControl/>
              <w:jc w:val="left"/>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管内穿线;BV-3*2.5;铜芯;插座开关面吧，地插；</w:t>
            </w:r>
          </w:p>
        </w:tc>
        <w:tc>
          <w:tcPr>
            <w:tcW w:w="662" w:type="pct"/>
            <w:vAlign w:val="center"/>
          </w:tcPr>
          <w:p w14:paraId="666618E0">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配管及配线</w:t>
            </w:r>
          </w:p>
        </w:tc>
        <w:tc>
          <w:tcPr>
            <w:tcW w:w="306" w:type="pct"/>
            <w:vAlign w:val="center"/>
          </w:tcPr>
          <w:p w14:paraId="661EF1DC">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1</w:t>
            </w:r>
          </w:p>
        </w:tc>
        <w:tc>
          <w:tcPr>
            <w:tcW w:w="443" w:type="pct"/>
            <w:vAlign w:val="center"/>
          </w:tcPr>
          <w:p w14:paraId="4E3DFD7D">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484" w:type="pct"/>
            <w:vAlign w:val="center"/>
          </w:tcPr>
          <w:p w14:paraId="238A72EF">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r>
      <w:tr w14:paraId="6ACC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38" w:type="pct"/>
            <w:vAlign w:val="center"/>
          </w:tcPr>
          <w:p w14:paraId="37EAF87F">
            <w:pPr>
              <w:pStyle w:val="17"/>
              <w:widowControl w:val="0"/>
              <w:numPr>
                <w:ilvl w:val="0"/>
                <w:numId w:val="0"/>
              </w:numPr>
              <w:ind w:left="0" w:leftChars="0" w:firstLine="0" w:firstLineChars="0"/>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14</w:t>
            </w:r>
          </w:p>
        </w:tc>
        <w:tc>
          <w:tcPr>
            <w:tcW w:w="382" w:type="pct"/>
            <w:vAlign w:val="center"/>
          </w:tcPr>
          <w:p w14:paraId="27DC0902">
            <w:pPr>
              <w:pStyle w:val="17"/>
              <w:widowControl w:val="0"/>
              <w:numPr>
                <w:ilvl w:val="0"/>
                <w:numId w:val="0"/>
              </w:numPr>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模拟街区房屋修补和内部改造</w:t>
            </w:r>
          </w:p>
        </w:tc>
        <w:tc>
          <w:tcPr>
            <w:tcW w:w="287" w:type="pct"/>
            <w:vAlign w:val="center"/>
          </w:tcPr>
          <w:p w14:paraId="5BA56F6E">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项</w:t>
            </w:r>
          </w:p>
        </w:tc>
        <w:tc>
          <w:tcPr>
            <w:tcW w:w="2194" w:type="pct"/>
            <w:vAlign w:val="center"/>
          </w:tcPr>
          <w:p w14:paraId="635016C9">
            <w:pPr>
              <w:widowControl/>
              <w:jc w:val="left"/>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室内;污水;地面开槽;硬聚氯乙烯（PVC－U）排水管;DN50;承插连接;配套管件、配套胶水，粘结;闭水、通球、通水;</w:t>
            </w:r>
          </w:p>
        </w:tc>
        <w:tc>
          <w:tcPr>
            <w:tcW w:w="662" w:type="pct"/>
            <w:vAlign w:val="center"/>
          </w:tcPr>
          <w:p w14:paraId="3346350F">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空调水排污管</w:t>
            </w:r>
          </w:p>
        </w:tc>
        <w:tc>
          <w:tcPr>
            <w:tcW w:w="306" w:type="pct"/>
            <w:vAlign w:val="center"/>
          </w:tcPr>
          <w:p w14:paraId="3DA920C6">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1</w:t>
            </w:r>
          </w:p>
        </w:tc>
        <w:tc>
          <w:tcPr>
            <w:tcW w:w="443" w:type="pct"/>
            <w:vAlign w:val="center"/>
          </w:tcPr>
          <w:p w14:paraId="5AADD969">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484" w:type="pct"/>
            <w:vAlign w:val="center"/>
          </w:tcPr>
          <w:p w14:paraId="1D76A1DC">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r>
      <w:tr w14:paraId="444B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38" w:type="pct"/>
            <w:vAlign w:val="center"/>
          </w:tcPr>
          <w:p w14:paraId="2C29C3C3">
            <w:pPr>
              <w:pStyle w:val="17"/>
              <w:widowControl w:val="0"/>
              <w:numPr>
                <w:ilvl w:val="0"/>
                <w:numId w:val="0"/>
              </w:numPr>
              <w:ind w:left="0" w:leftChars="0" w:firstLine="0" w:firstLineChars="0"/>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15</w:t>
            </w:r>
          </w:p>
        </w:tc>
        <w:tc>
          <w:tcPr>
            <w:tcW w:w="382" w:type="pct"/>
            <w:vAlign w:val="center"/>
          </w:tcPr>
          <w:p w14:paraId="09799C09">
            <w:pPr>
              <w:pStyle w:val="17"/>
              <w:widowControl w:val="0"/>
              <w:numPr>
                <w:ilvl w:val="0"/>
                <w:numId w:val="0"/>
              </w:numPr>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模拟街区房屋修补和内部改造</w:t>
            </w:r>
          </w:p>
        </w:tc>
        <w:tc>
          <w:tcPr>
            <w:tcW w:w="287" w:type="pct"/>
            <w:vAlign w:val="center"/>
          </w:tcPr>
          <w:p w14:paraId="42467A1A">
            <w:pPr>
              <w:widowControl/>
              <w:jc w:val="center"/>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套</w:t>
            </w:r>
          </w:p>
        </w:tc>
        <w:tc>
          <w:tcPr>
            <w:tcW w:w="2194" w:type="pct"/>
            <w:vAlign w:val="center"/>
          </w:tcPr>
          <w:p w14:paraId="7F54C8F9">
            <w:pPr>
              <w:widowControl/>
              <w:jc w:val="left"/>
              <w:textAlignment w:val="center"/>
              <w:rPr>
                <w:rFonts w:hint="eastAsia" w:ascii="宋体" w:hAnsi="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吸顶灯</w:t>
            </w:r>
          </w:p>
        </w:tc>
        <w:tc>
          <w:tcPr>
            <w:tcW w:w="662" w:type="pct"/>
            <w:vAlign w:val="center"/>
          </w:tcPr>
          <w:p w14:paraId="710FB207">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普通灯具</w:t>
            </w:r>
          </w:p>
        </w:tc>
        <w:tc>
          <w:tcPr>
            <w:tcW w:w="306" w:type="pct"/>
            <w:vAlign w:val="center"/>
          </w:tcPr>
          <w:p w14:paraId="03544EF0">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rPr>
              <w:t>4</w:t>
            </w:r>
          </w:p>
        </w:tc>
        <w:tc>
          <w:tcPr>
            <w:tcW w:w="443" w:type="pct"/>
            <w:vAlign w:val="center"/>
          </w:tcPr>
          <w:p w14:paraId="30A1BAE9">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c>
          <w:tcPr>
            <w:tcW w:w="484" w:type="pct"/>
            <w:vAlign w:val="center"/>
          </w:tcPr>
          <w:p w14:paraId="17EBBB1C">
            <w:pPr>
              <w:widowControl/>
              <w:jc w:val="center"/>
              <w:textAlignment w:val="center"/>
              <w:rPr>
                <w:rFonts w:hint="eastAsia" w:ascii="宋体" w:hAnsi="宋体" w:eastAsia="宋体" w:cs="宋体"/>
                <w:i w:val="0"/>
                <w:iCs w:val="0"/>
                <w:color w:val="auto"/>
                <w:kern w:val="0"/>
                <w:sz w:val="18"/>
                <w:szCs w:val="18"/>
                <w:highlight w:val="none"/>
                <w:u w:val="none"/>
                <w:lang w:val="en-US" w:eastAsia="zh-CN"/>
              </w:rPr>
            </w:pPr>
          </w:p>
        </w:tc>
      </w:tr>
      <w:tr w14:paraId="364E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515" w:type="pct"/>
            <w:gridSpan w:val="7"/>
            <w:vAlign w:val="center"/>
          </w:tcPr>
          <w:p w14:paraId="092CCA79">
            <w:pPr>
              <w:widowControl/>
              <w:ind w:left="0" w:leftChars="0" w:right="0"/>
              <w:jc w:val="center"/>
              <w:textAlignment w:val="center"/>
              <w:rPr>
                <w:rFonts w:hint="default" w:ascii="宋体" w:hAnsi="宋体" w:eastAsia="宋体" w:cs="宋体"/>
                <w:i w:val="0"/>
                <w:iCs w:val="0"/>
                <w:color w:val="auto"/>
                <w:kern w:val="0"/>
                <w:sz w:val="18"/>
                <w:szCs w:val="18"/>
                <w:highlight w:val="none"/>
                <w:u w:val="none"/>
                <w:lang w:val="en-US" w:eastAsia="zh-CN"/>
              </w:rPr>
            </w:pPr>
            <w:r>
              <w:rPr>
                <w:rFonts w:hint="eastAsia" w:ascii="宋体" w:hAnsi="宋体" w:eastAsia="宋体" w:cs="宋体"/>
                <w:i w:val="0"/>
                <w:iCs w:val="0"/>
                <w:color w:val="auto"/>
                <w:kern w:val="0"/>
                <w:sz w:val="18"/>
                <w:szCs w:val="18"/>
                <w:highlight w:val="none"/>
                <w:u w:val="none"/>
                <w:lang w:val="en-US" w:eastAsia="zh-CN"/>
              </w:rPr>
              <w:t>合计：</w:t>
            </w:r>
          </w:p>
        </w:tc>
        <w:tc>
          <w:tcPr>
            <w:tcW w:w="484" w:type="pct"/>
            <w:vAlign w:val="center"/>
          </w:tcPr>
          <w:p w14:paraId="7D01BA5E">
            <w:pPr>
              <w:widowControl/>
              <w:ind w:left="0" w:leftChars="0" w:right="0"/>
              <w:jc w:val="right"/>
              <w:textAlignment w:val="center"/>
              <w:rPr>
                <w:rFonts w:hint="default" w:ascii="宋体" w:hAnsi="宋体" w:eastAsia="宋体" w:cs="宋体"/>
                <w:i w:val="0"/>
                <w:iCs w:val="0"/>
                <w:color w:val="auto"/>
                <w:kern w:val="0"/>
                <w:sz w:val="18"/>
                <w:szCs w:val="18"/>
                <w:highlight w:val="none"/>
                <w:u w:val="none"/>
                <w:lang w:val="en-US" w:eastAsia="zh-CN"/>
              </w:rPr>
            </w:pPr>
          </w:p>
        </w:tc>
      </w:tr>
    </w:tbl>
    <w:p w14:paraId="49858BA2">
      <w:pPr>
        <w:widowControl/>
        <w:snapToGrid w:val="0"/>
        <w:spacing w:line="360" w:lineRule="auto"/>
        <w:rPr>
          <w:rFonts w:hint="eastAsia" w:ascii="宋体" w:hAnsi="宋体" w:cs="Arial"/>
          <w:color w:val="auto"/>
          <w:kern w:val="0"/>
          <w:szCs w:val="21"/>
          <w:highlight w:val="none"/>
          <w:lang w:eastAsia="zh-CN"/>
        </w:rPr>
      </w:pPr>
    </w:p>
    <w:p w14:paraId="685B1951">
      <w:pPr>
        <w:widowControl/>
        <w:snapToGrid w:val="0"/>
        <w:spacing w:line="360" w:lineRule="auto"/>
        <w:rPr>
          <w:rFonts w:ascii="宋体" w:hAnsi="宋体" w:cs="Arial"/>
          <w:color w:val="auto"/>
          <w:kern w:val="0"/>
          <w:szCs w:val="21"/>
          <w:highlight w:val="none"/>
        </w:rPr>
      </w:pPr>
      <w:r>
        <w:rPr>
          <w:rFonts w:hint="eastAsia" w:ascii="宋体" w:hAnsi="宋体" w:cs="Arial"/>
          <w:color w:val="auto"/>
          <w:kern w:val="0"/>
          <w:szCs w:val="21"/>
          <w:highlight w:val="none"/>
          <w:lang w:eastAsia="zh-CN"/>
        </w:rPr>
        <w:t>供应商</w:t>
      </w:r>
      <w:r>
        <w:rPr>
          <w:rFonts w:hint="eastAsia" w:ascii="宋体" w:hAnsi="宋体" w:cs="Arial"/>
          <w:color w:val="auto"/>
          <w:kern w:val="0"/>
          <w:szCs w:val="21"/>
          <w:highlight w:val="none"/>
        </w:rPr>
        <w:t>名称（公章）：</w:t>
      </w:r>
    </w:p>
    <w:p w14:paraId="3277CCC1">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法定代表人或代理人（签字或盖章）：</w:t>
      </w:r>
    </w:p>
    <w:p w14:paraId="62D84061">
      <w:pPr>
        <w:snapToGrid w:val="0"/>
        <w:spacing w:line="360" w:lineRule="auto"/>
        <w:rPr>
          <w:color w:val="auto"/>
          <w:szCs w:val="21"/>
          <w:highlight w:val="none"/>
        </w:rPr>
      </w:pPr>
      <w:r>
        <w:rPr>
          <w:rFonts w:hint="eastAsia"/>
          <w:color w:val="auto"/>
          <w:szCs w:val="21"/>
          <w:highlight w:val="none"/>
        </w:rPr>
        <w:t>表式参考，可根据项目情况自行调整</w:t>
      </w:r>
    </w:p>
    <w:p w14:paraId="7D236B8B">
      <w:pPr>
        <w:snapToGrid w:val="0"/>
        <w:spacing w:line="360" w:lineRule="auto"/>
        <w:rPr>
          <w:b/>
          <w:bCs/>
          <w:color w:val="auto"/>
          <w:szCs w:val="21"/>
          <w:highlight w:val="none"/>
        </w:rPr>
      </w:pPr>
    </w:p>
    <w:p w14:paraId="5A25CE88">
      <w:pPr>
        <w:rPr>
          <w:rFonts w:ascii="宋体" w:hAnsi="宋体" w:cs="宋体"/>
          <w:b/>
          <w:color w:val="auto"/>
          <w:sz w:val="28"/>
          <w:szCs w:val="28"/>
          <w:highlight w:val="none"/>
        </w:rPr>
      </w:pPr>
    </w:p>
    <w:p w14:paraId="076080A9">
      <w:pPr>
        <w:rPr>
          <w:rFonts w:ascii="宋体" w:hAnsi="宋体" w:cs="宋体"/>
          <w:b/>
          <w:color w:val="auto"/>
          <w:sz w:val="28"/>
          <w:szCs w:val="28"/>
          <w:highlight w:val="none"/>
        </w:rPr>
      </w:pPr>
    </w:p>
    <w:p w14:paraId="785F4DA6">
      <w:pPr>
        <w:rPr>
          <w:rFonts w:ascii="宋体" w:hAnsi="宋体" w:cs="宋体"/>
          <w:color w:val="auto"/>
          <w:kern w:val="0"/>
          <w:szCs w:val="21"/>
          <w:highlight w:val="none"/>
        </w:rPr>
      </w:pPr>
      <w:r>
        <w:rPr>
          <w:rFonts w:hint="eastAsia" w:ascii="宋体" w:hAnsi="宋体" w:cs="宋体"/>
          <w:color w:val="auto"/>
          <w:kern w:val="0"/>
          <w:szCs w:val="21"/>
          <w:highlight w:val="none"/>
        </w:rPr>
        <w:br w:type="page"/>
      </w:r>
    </w:p>
    <w:p w14:paraId="1A057B0B">
      <w:pPr>
        <w:outlineLvl w:val="1"/>
        <w:rPr>
          <w:rFonts w:ascii="宋体" w:hAnsi="宋体" w:cs="宋体"/>
          <w:b/>
          <w:color w:val="auto"/>
          <w:kern w:val="0"/>
          <w:szCs w:val="21"/>
          <w:highlight w:val="none"/>
        </w:rPr>
      </w:pPr>
      <w:r>
        <w:rPr>
          <w:rFonts w:hint="eastAsia" w:ascii="宋体" w:hAnsi="宋体" w:cs="宋体"/>
          <w:b/>
          <w:color w:val="auto"/>
          <w:kern w:val="0"/>
          <w:szCs w:val="21"/>
          <w:highlight w:val="none"/>
        </w:rPr>
        <w:t>附件：7.质保</w:t>
      </w:r>
      <w:r>
        <w:rPr>
          <w:rFonts w:ascii="宋体" w:hAnsi="宋体" w:cs="宋体"/>
          <w:b/>
          <w:color w:val="auto"/>
          <w:kern w:val="0"/>
          <w:szCs w:val="21"/>
          <w:highlight w:val="none"/>
        </w:rPr>
        <w:t>及售后</w:t>
      </w:r>
      <w:r>
        <w:rPr>
          <w:rFonts w:hint="eastAsia" w:ascii="宋体" w:hAnsi="宋体" w:cs="宋体"/>
          <w:b/>
          <w:color w:val="auto"/>
          <w:kern w:val="0"/>
          <w:szCs w:val="21"/>
          <w:highlight w:val="none"/>
        </w:rPr>
        <w:t>服务承诺书</w:t>
      </w:r>
    </w:p>
    <w:p w14:paraId="327AEE28">
      <w:pPr>
        <w:jc w:val="center"/>
        <w:rPr>
          <w:b/>
          <w:color w:val="auto"/>
          <w:sz w:val="28"/>
          <w:szCs w:val="28"/>
          <w:highlight w:val="none"/>
        </w:rPr>
      </w:pPr>
    </w:p>
    <w:p w14:paraId="458531D7">
      <w:pPr>
        <w:jc w:val="center"/>
        <w:rPr>
          <w:b/>
          <w:color w:val="auto"/>
          <w:sz w:val="28"/>
          <w:szCs w:val="28"/>
          <w:highlight w:val="none"/>
        </w:rPr>
      </w:pPr>
      <w:r>
        <w:rPr>
          <w:rFonts w:hint="eastAsia"/>
          <w:b/>
          <w:color w:val="auto"/>
          <w:sz w:val="28"/>
          <w:szCs w:val="28"/>
          <w:highlight w:val="none"/>
        </w:rPr>
        <w:t>质保</w:t>
      </w:r>
      <w:r>
        <w:rPr>
          <w:b/>
          <w:color w:val="auto"/>
          <w:sz w:val="28"/>
          <w:szCs w:val="28"/>
          <w:highlight w:val="none"/>
        </w:rPr>
        <w:t>及售后</w:t>
      </w:r>
      <w:r>
        <w:rPr>
          <w:rFonts w:hint="eastAsia"/>
          <w:b/>
          <w:color w:val="auto"/>
          <w:sz w:val="28"/>
          <w:szCs w:val="28"/>
          <w:highlight w:val="none"/>
        </w:rPr>
        <w:t>服务承诺书</w:t>
      </w:r>
    </w:p>
    <w:p w14:paraId="2DB8BDDF">
      <w:pPr>
        <w:spacing w:line="360" w:lineRule="auto"/>
        <w:rPr>
          <w:rFonts w:ascii="宋体" w:hAnsi="宋体" w:cs="宋体"/>
          <w:color w:val="auto"/>
          <w:sz w:val="24"/>
          <w:szCs w:val="24"/>
          <w:highlight w:val="none"/>
        </w:rPr>
      </w:pPr>
    </w:p>
    <w:p w14:paraId="30B179E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服务承诺如下：</w:t>
      </w:r>
    </w:p>
    <w:p w14:paraId="558CBC28">
      <w:pPr>
        <w:spacing w:line="360" w:lineRule="auto"/>
        <w:rPr>
          <w:rFonts w:ascii="宋体" w:hAnsi="宋体" w:cs="宋体"/>
          <w:color w:val="auto"/>
          <w:sz w:val="24"/>
          <w:szCs w:val="24"/>
          <w:highlight w:val="none"/>
        </w:rPr>
      </w:pPr>
    </w:p>
    <w:p w14:paraId="02AB0BEC">
      <w:pPr>
        <w:spacing w:line="360" w:lineRule="auto"/>
        <w:rPr>
          <w:rFonts w:ascii="宋体" w:hAnsi="宋体" w:cs="宋体"/>
          <w:color w:val="auto"/>
          <w:sz w:val="24"/>
          <w:szCs w:val="24"/>
          <w:highlight w:val="none"/>
        </w:rPr>
      </w:pPr>
    </w:p>
    <w:p w14:paraId="680D5D44">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质保</w:t>
      </w:r>
      <w:r>
        <w:rPr>
          <w:rFonts w:ascii="宋体" w:hAnsi="宋体" w:cs="宋体"/>
          <w:color w:val="auto"/>
          <w:sz w:val="24"/>
          <w:szCs w:val="24"/>
          <w:highlight w:val="none"/>
        </w:rPr>
        <w:t>承诺如下：</w:t>
      </w:r>
    </w:p>
    <w:p w14:paraId="026E7E4D">
      <w:pPr>
        <w:spacing w:line="360" w:lineRule="auto"/>
        <w:rPr>
          <w:rFonts w:ascii="宋体" w:hAnsi="宋体" w:cs="宋体"/>
          <w:color w:val="auto"/>
          <w:sz w:val="24"/>
          <w:szCs w:val="24"/>
          <w:highlight w:val="none"/>
        </w:rPr>
      </w:pPr>
    </w:p>
    <w:p w14:paraId="0D5C7A09">
      <w:pPr>
        <w:spacing w:line="360" w:lineRule="auto"/>
        <w:rPr>
          <w:rFonts w:ascii="宋体" w:hAnsi="宋体" w:cs="宋体"/>
          <w:color w:val="auto"/>
          <w:sz w:val="24"/>
          <w:szCs w:val="24"/>
          <w:highlight w:val="none"/>
        </w:rPr>
      </w:pPr>
    </w:p>
    <w:p w14:paraId="01593E01">
      <w:pPr>
        <w:spacing w:line="360" w:lineRule="exac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olor w:val="auto"/>
          <w:szCs w:val="21"/>
          <w:highlight w:val="none"/>
        </w:rPr>
        <w:t>名称（公章）：</w:t>
      </w:r>
    </w:p>
    <w:p w14:paraId="33A1E720">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1A1B1ED2">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0B9FD28D">
      <w:pPr>
        <w:rPr>
          <w:rFonts w:ascii="宋体" w:hAnsi="宋体" w:cs="宋体"/>
          <w:color w:val="auto"/>
          <w:sz w:val="24"/>
          <w:szCs w:val="24"/>
          <w:highlight w:val="none"/>
        </w:rPr>
      </w:pPr>
    </w:p>
    <w:p w14:paraId="2551CA02">
      <w:pPr>
        <w:rPr>
          <w:rFonts w:ascii="宋体" w:hAnsi="宋体" w:cs="宋体"/>
          <w:color w:val="auto"/>
          <w:sz w:val="24"/>
          <w:szCs w:val="24"/>
          <w:highlight w:val="none"/>
        </w:rPr>
      </w:pPr>
    </w:p>
    <w:p w14:paraId="694D6773">
      <w:pPr>
        <w:rPr>
          <w:rFonts w:ascii="宋体" w:hAnsi="宋体" w:cs="宋体"/>
          <w:color w:val="auto"/>
          <w:sz w:val="24"/>
          <w:szCs w:val="24"/>
          <w:highlight w:val="none"/>
        </w:rPr>
      </w:pPr>
    </w:p>
    <w:p w14:paraId="05F141B9">
      <w:pPr>
        <w:outlineLvl w:val="1"/>
        <w:rPr>
          <w:rFonts w:ascii="宋体" w:hAnsi="宋体" w:cs="宋体"/>
          <w:b/>
          <w:color w:val="auto"/>
          <w:kern w:val="0"/>
          <w:szCs w:val="21"/>
          <w:highlight w:val="none"/>
        </w:rPr>
      </w:pPr>
      <w:r>
        <w:rPr>
          <w:rFonts w:hint="eastAsia" w:ascii="宋体" w:hAnsi="宋体" w:cs="宋体"/>
          <w:b/>
          <w:color w:val="auto"/>
          <w:kern w:val="0"/>
          <w:szCs w:val="21"/>
          <w:highlight w:val="none"/>
        </w:rPr>
        <w:t>附件：8.偏离表</w:t>
      </w:r>
    </w:p>
    <w:p w14:paraId="22DAAA8D">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偏 离 表</w:t>
      </w:r>
    </w:p>
    <w:p w14:paraId="1A0AECAE">
      <w:pPr>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供应商应对询价通知书中规定的商务及技术部分给予充分的考虑。为了评审的需要，供应商应将这些条款的异议逐条提出或根据以下要求的格式提出偏离。</w:t>
      </w:r>
    </w:p>
    <w:p w14:paraId="2CD86E62">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如无偏离，请在本表格中写“无”，并附在响应文件中。          </w:t>
      </w:r>
    </w:p>
    <w:p w14:paraId="0E3B2B57">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2025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3BC4A44E">
            <w:pPr>
              <w:rPr>
                <w:rFonts w:ascii="宋体" w:hAnsi="宋体" w:cs="宋体"/>
                <w:color w:val="auto"/>
                <w:szCs w:val="21"/>
                <w:highlight w:val="none"/>
              </w:rPr>
            </w:pPr>
            <w:r>
              <w:rPr>
                <w:rFonts w:hint="eastAsia" w:ascii="宋体" w:hAnsi="宋体" w:cs="宋体"/>
                <w:color w:val="auto"/>
                <w:szCs w:val="21"/>
                <w:highlight w:val="none"/>
              </w:rPr>
              <w:t>章节号</w:t>
            </w:r>
          </w:p>
        </w:tc>
        <w:tc>
          <w:tcPr>
            <w:tcW w:w="2132" w:type="dxa"/>
            <w:vAlign w:val="center"/>
          </w:tcPr>
          <w:p w14:paraId="45C2FBD8">
            <w:pPr>
              <w:rPr>
                <w:rFonts w:ascii="宋体" w:hAnsi="宋体" w:cs="宋体"/>
                <w:color w:val="auto"/>
                <w:szCs w:val="21"/>
                <w:highlight w:val="none"/>
              </w:rPr>
            </w:pPr>
            <w:r>
              <w:rPr>
                <w:rFonts w:hint="eastAsia" w:ascii="宋体" w:hAnsi="宋体" w:cs="宋体"/>
                <w:color w:val="auto"/>
                <w:szCs w:val="21"/>
                <w:highlight w:val="none"/>
              </w:rPr>
              <w:t>供应商的偏离</w:t>
            </w:r>
          </w:p>
        </w:tc>
        <w:tc>
          <w:tcPr>
            <w:tcW w:w="3044" w:type="dxa"/>
            <w:vAlign w:val="center"/>
          </w:tcPr>
          <w:p w14:paraId="3267A0DF">
            <w:pPr>
              <w:rPr>
                <w:rFonts w:ascii="宋体" w:hAnsi="宋体" w:cs="宋体"/>
                <w:color w:val="auto"/>
                <w:szCs w:val="21"/>
                <w:highlight w:val="none"/>
              </w:rPr>
            </w:pPr>
            <w:r>
              <w:rPr>
                <w:rFonts w:hint="eastAsia" w:ascii="宋体" w:hAnsi="宋体" w:cs="宋体"/>
                <w:color w:val="auto"/>
                <w:szCs w:val="21"/>
                <w:highlight w:val="none"/>
              </w:rPr>
              <w:t>供应商偏离的理由</w:t>
            </w:r>
          </w:p>
        </w:tc>
        <w:tc>
          <w:tcPr>
            <w:tcW w:w="1440" w:type="dxa"/>
            <w:vAlign w:val="center"/>
          </w:tcPr>
          <w:p w14:paraId="1117BA7D">
            <w:pPr>
              <w:rPr>
                <w:rFonts w:ascii="宋体" w:hAnsi="宋体" w:cs="宋体"/>
                <w:color w:val="auto"/>
                <w:szCs w:val="21"/>
                <w:highlight w:val="none"/>
              </w:rPr>
            </w:pPr>
            <w:r>
              <w:rPr>
                <w:rFonts w:hint="eastAsia" w:ascii="宋体" w:hAnsi="宋体" w:cs="宋体"/>
                <w:color w:val="auto"/>
                <w:szCs w:val="21"/>
                <w:highlight w:val="none"/>
              </w:rPr>
              <w:t>备注</w:t>
            </w:r>
          </w:p>
        </w:tc>
      </w:tr>
      <w:tr w14:paraId="1BC8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64251CF1">
            <w:pPr>
              <w:rPr>
                <w:rFonts w:ascii="宋体" w:hAnsi="宋体" w:cs="宋体"/>
                <w:color w:val="auto"/>
                <w:szCs w:val="21"/>
                <w:highlight w:val="none"/>
              </w:rPr>
            </w:pPr>
          </w:p>
        </w:tc>
        <w:tc>
          <w:tcPr>
            <w:tcW w:w="2132" w:type="dxa"/>
          </w:tcPr>
          <w:p w14:paraId="63EBA732">
            <w:pPr>
              <w:rPr>
                <w:rFonts w:ascii="宋体" w:hAnsi="宋体" w:cs="宋体"/>
                <w:color w:val="auto"/>
                <w:szCs w:val="21"/>
                <w:highlight w:val="none"/>
              </w:rPr>
            </w:pPr>
          </w:p>
        </w:tc>
        <w:tc>
          <w:tcPr>
            <w:tcW w:w="3044" w:type="dxa"/>
          </w:tcPr>
          <w:p w14:paraId="6209F2D6">
            <w:pPr>
              <w:rPr>
                <w:rFonts w:ascii="宋体" w:hAnsi="宋体" w:cs="宋体"/>
                <w:color w:val="auto"/>
                <w:szCs w:val="21"/>
                <w:highlight w:val="none"/>
              </w:rPr>
            </w:pPr>
          </w:p>
        </w:tc>
        <w:tc>
          <w:tcPr>
            <w:tcW w:w="1440" w:type="dxa"/>
          </w:tcPr>
          <w:p w14:paraId="1CCE1072">
            <w:pPr>
              <w:rPr>
                <w:rFonts w:ascii="宋体" w:hAnsi="宋体" w:cs="宋体"/>
                <w:color w:val="auto"/>
                <w:szCs w:val="21"/>
                <w:highlight w:val="none"/>
              </w:rPr>
            </w:pPr>
          </w:p>
        </w:tc>
      </w:tr>
      <w:tr w14:paraId="5843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C37E110">
            <w:pPr>
              <w:rPr>
                <w:rFonts w:ascii="宋体" w:hAnsi="宋体" w:cs="宋体"/>
                <w:color w:val="auto"/>
                <w:szCs w:val="21"/>
                <w:highlight w:val="none"/>
              </w:rPr>
            </w:pPr>
          </w:p>
        </w:tc>
        <w:tc>
          <w:tcPr>
            <w:tcW w:w="2132" w:type="dxa"/>
          </w:tcPr>
          <w:p w14:paraId="103C436C">
            <w:pPr>
              <w:rPr>
                <w:rFonts w:ascii="宋体" w:hAnsi="宋体" w:cs="宋体"/>
                <w:color w:val="auto"/>
                <w:szCs w:val="21"/>
                <w:highlight w:val="none"/>
              </w:rPr>
            </w:pPr>
          </w:p>
        </w:tc>
        <w:tc>
          <w:tcPr>
            <w:tcW w:w="3044" w:type="dxa"/>
          </w:tcPr>
          <w:p w14:paraId="7B4AEAD5">
            <w:pPr>
              <w:rPr>
                <w:rFonts w:ascii="宋体" w:hAnsi="宋体" w:cs="宋体"/>
                <w:color w:val="auto"/>
                <w:szCs w:val="21"/>
                <w:highlight w:val="none"/>
              </w:rPr>
            </w:pPr>
          </w:p>
        </w:tc>
        <w:tc>
          <w:tcPr>
            <w:tcW w:w="1440" w:type="dxa"/>
          </w:tcPr>
          <w:p w14:paraId="05F2EF87">
            <w:pPr>
              <w:rPr>
                <w:rFonts w:ascii="宋体" w:hAnsi="宋体" w:cs="宋体"/>
                <w:color w:val="auto"/>
                <w:szCs w:val="21"/>
                <w:highlight w:val="none"/>
              </w:rPr>
            </w:pPr>
          </w:p>
        </w:tc>
      </w:tr>
      <w:tr w14:paraId="2961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5804BA95">
            <w:pPr>
              <w:rPr>
                <w:rFonts w:ascii="宋体" w:hAnsi="宋体" w:cs="宋体"/>
                <w:color w:val="auto"/>
                <w:szCs w:val="21"/>
                <w:highlight w:val="none"/>
              </w:rPr>
            </w:pPr>
          </w:p>
        </w:tc>
        <w:tc>
          <w:tcPr>
            <w:tcW w:w="2132" w:type="dxa"/>
          </w:tcPr>
          <w:p w14:paraId="5E98EE3E">
            <w:pPr>
              <w:rPr>
                <w:rFonts w:ascii="宋体" w:hAnsi="宋体" w:cs="宋体"/>
                <w:color w:val="auto"/>
                <w:szCs w:val="21"/>
                <w:highlight w:val="none"/>
              </w:rPr>
            </w:pPr>
          </w:p>
        </w:tc>
        <w:tc>
          <w:tcPr>
            <w:tcW w:w="3044" w:type="dxa"/>
          </w:tcPr>
          <w:p w14:paraId="206C573C">
            <w:pPr>
              <w:rPr>
                <w:rFonts w:ascii="宋体" w:hAnsi="宋体" w:cs="宋体"/>
                <w:color w:val="auto"/>
                <w:szCs w:val="21"/>
                <w:highlight w:val="none"/>
              </w:rPr>
            </w:pPr>
          </w:p>
        </w:tc>
        <w:tc>
          <w:tcPr>
            <w:tcW w:w="1440" w:type="dxa"/>
          </w:tcPr>
          <w:p w14:paraId="7BD62ECD">
            <w:pPr>
              <w:rPr>
                <w:rFonts w:ascii="宋体" w:hAnsi="宋体" w:cs="宋体"/>
                <w:color w:val="auto"/>
                <w:szCs w:val="21"/>
                <w:highlight w:val="none"/>
              </w:rPr>
            </w:pPr>
          </w:p>
        </w:tc>
      </w:tr>
    </w:tbl>
    <w:p w14:paraId="3DB99519">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1FAFC5BE">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4BF98986">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7908349E">
      <w:pPr>
        <w:rPr>
          <w:rFonts w:ascii="宋体" w:hAnsi="宋体" w:cs="宋体"/>
          <w:color w:val="auto"/>
          <w:sz w:val="24"/>
          <w:szCs w:val="24"/>
          <w:highlight w:val="none"/>
        </w:rPr>
      </w:pPr>
    </w:p>
    <w:p w14:paraId="13B37869">
      <w:pPr>
        <w:rPr>
          <w:rFonts w:ascii="宋体" w:hAnsi="宋体" w:cs="宋体"/>
          <w:color w:val="auto"/>
          <w:sz w:val="24"/>
          <w:szCs w:val="24"/>
          <w:highlight w:val="none"/>
        </w:rPr>
      </w:pPr>
    </w:p>
    <w:p w14:paraId="5996FE7A">
      <w:pPr>
        <w:widowControl/>
        <w:snapToGrid w:val="0"/>
        <w:spacing w:line="360" w:lineRule="auto"/>
        <w:ind w:right="-308"/>
        <w:jc w:val="center"/>
        <w:rPr>
          <w:rFonts w:ascii="黑体" w:hAnsi="宋体" w:eastAsia="黑体" w:cs="宋体"/>
          <w:b/>
          <w:bCs/>
          <w:color w:val="auto"/>
          <w:sz w:val="28"/>
          <w:szCs w:val="28"/>
          <w:highlight w:val="none"/>
        </w:rPr>
      </w:pPr>
      <w:r>
        <w:rPr>
          <w:rFonts w:hint="eastAsia" w:ascii="黑体" w:hAnsi="宋体" w:eastAsia="黑体" w:cs="宋体"/>
          <w:b/>
          <w:bCs/>
          <w:color w:val="auto"/>
          <w:sz w:val="28"/>
          <w:szCs w:val="28"/>
          <w:highlight w:val="none"/>
        </w:rPr>
        <w:t>本询价通知书的最终解释权归常州市城投建设工程招标有限公司所有</w:t>
      </w:r>
    </w:p>
    <w:p w14:paraId="1878B2E5">
      <w:pPr>
        <w:widowControl/>
        <w:snapToGrid w:val="0"/>
        <w:spacing w:line="360" w:lineRule="auto"/>
        <w:ind w:right="-308"/>
        <w:jc w:val="center"/>
        <w:rPr>
          <w:rFonts w:ascii="黑体" w:hAnsi="宋体" w:eastAsia="黑体" w:cs="宋体"/>
          <w:b/>
          <w:bCs/>
          <w:color w:val="auto"/>
          <w:sz w:val="28"/>
          <w:szCs w:val="28"/>
          <w:highlight w:val="none"/>
        </w:rPr>
      </w:pPr>
      <w:r>
        <w:rPr>
          <w:rFonts w:hint="eastAsia" w:ascii="黑体" w:hAnsi="宋体" w:eastAsia="黑体" w:cs="宋体"/>
          <w:b/>
          <w:bCs/>
          <w:color w:val="auto"/>
          <w:sz w:val="28"/>
          <w:szCs w:val="28"/>
          <w:highlight w:val="none"/>
        </w:rPr>
        <w:t>（全文完）</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F2805">
    <w:pPr>
      <w:pStyle w:val="15"/>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21</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21</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05FC">
    <w:pPr>
      <w:pStyle w:val="15"/>
      <w:framePr w:wrap="around" w:vAnchor="text" w:hAnchor="margin" w:xAlign="outside" w:y="1"/>
      <w:rPr>
        <w:rStyle w:val="60"/>
      </w:rPr>
    </w:pPr>
    <w:r>
      <w:fldChar w:fldCharType="begin"/>
    </w:r>
    <w:r>
      <w:rPr>
        <w:rStyle w:val="60"/>
      </w:rPr>
      <w:instrText xml:space="preserve">PAGE  </w:instrText>
    </w:r>
    <w:r>
      <w:fldChar w:fldCharType="end"/>
    </w:r>
  </w:p>
  <w:p w14:paraId="19EB8639">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F3BE7">
    <w:pPr>
      <w:pStyle w:val="16"/>
      <w:jc w:val="right"/>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FEBA5">
    <w:pPr>
      <w:pStyle w:val="1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CE86A">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DD0EC"/>
    <w:multiLevelType w:val="singleLevel"/>
    <w:tmpl w:val="9A7DD0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CE"/>
    <w:rsid w:val="0000020E"/>
    <w:rsid w:val="00014697"/>
    <w:rsid w:val="00015726"/>
    <w:rsid w:val="00015A25"/>
    <w:rsid w:val="00021A28"/>
    <w:rsid w:val="000322C7"/>
    <w:rsid w:val="00036ABA"/>
    <w:rsid w:val="000400AF"/>
    <w:rsid w:val="000419E2"/>
    <w:rsid w:val="00041CA7"/>
    <w:rsid w:val="00042FA4"/>
    <w:rsid w:val="00046E7B"/>
    <w:rsid w:val="000518B4"/>
    <w:rsid w:val="00052763"/>
    <w:rsid w:val="0005783A"/>
    <w:rsid w:val="0006059F"/>
    <w:rsid w:val="00067479"/>
    <w:rsid w:val="00074403"/>
    <w:rsid w:val="00075542"/>
    <w:rsid w:val="000773BD"/>
    <w:rsid w:val="000817FB"/>
    <w:rsid w:val="00082A56"/>
    <w:rsid w:val="00083D5E"/>
    <w:rsid w:val="0008635D"/>
    <w:rsid w:val="00091073"/>
    <w:rsid w:val="00094B97"/>
    <w:rsid w:val="000952EA"/>
    <w:rsid w:val="00096808"/>
    <w:rsid w:val="000A46C6"/>
    <w:rsid w:val="000A641F"/>
    <w:rsid w:val="000A7812"/>
    <w:rsid w:val="000B0984"/>
    <w:rsid w:val="000B3498"/>
    <w:rsid w:val="000C32B2"/>
    <w:rsid w:val="000C42E4"/>
    <w:rsid w:val="000C5105"/>
    <w:rsid w:val="000C7FBE"/>
    <w:rsid w:val="000D1155"/>
    <w:rsid w:val="000D2205"/>
    <w:rsid w:val="000D25CF"/>
    <w:rsid w:val="000D27B8"/>
    <w:rsid w:val="000D3930"/>
    <w:rsid w:val="000D46DC"/>
    <w:rsid w:val="000D6F17"/>
    <w:rsid w:val="000D7DF9"/>
    <w:rsid w:val="000E648F"/>
    <w:rsid w:val="000F241A"/>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AB1"/>
    <w:rsid w:val="001A79B9"/>
    <w:rsid w:val="001B19F7"/>
    <w:rsid w:val="001B3BCD"/>
    <w:rsid w:val="001B45DE"/>
    <w:rsid w:val="001B777A"/>
    <w:rsid w:val="001C13D0"/>
    <w:rsid w:val="001C3A68"/>
    <w:rsid w:val="001C5925"/>
    <w:rsid w:val="001C764D"/>
    <w:rsid w:val="001D4303"/>
    <w:rsid w:val="001D56BC"/>
    <w:rsid w:val="001D7A92"/>
    <w:rsid w:val="001E0507"/>
    <w:rsid w:val="001E0EEA"/>
    <w:rsid w:val="001F2762"/>
    <w:rsid w:val="001F3D80"/>
    <w:rsid w:val="00202527"/>
    <w:rsid w:val="00204044"/>
    <w:rsid w:val="0020430E"/>
    <w:rsid w:val="00206501"/>
    <w:rsid w:val="00207310"/>
    <w:rsid w:val="00214A06"/>
    <w:rsid w:val="002167F7"/>
    <w:rsid w:val="00224761"/>
    <w:rsid w:val="00224C20"/>
    <w:rsid w:val="00227AF2"/>
    <w:rsid w:val="00231317"/>
    <w:rsid w:val="0023309A"/>
    <w:rsid w:val="0024132F"/>
    <w:rsid w:val="00244306"/>
    <w:rsid w:val="002473E2"/>
    <w:rsid w:val="00254B97"/>
    <w:rsid w:val="002649E6"/>
    <w:rsid w:val="00266CFA"/>
    <w:rsid w:val="002722D7"/>
    <w:rsid w:val="0028101A"/>
    <w:rsid w:val="0028762C"/>
    <w:rsid w:val="00291CF2"/>
    <w:rsid w:val="002A22F9"/>
    <w:rsid w:val="002A6B32"/>
    <w:rsid w:val="002B0952"/>
    <w:rsid w:val="002B63EC"/>
    <w:rsid w:val="002C3F8C"/>
    <w:rsid w:val="002C484D"/>
    <w:rsid w:val="002C691D"/>
    <w:rsid w:val="002D1E5D"/>
    <w:rsid w:val="002E55E5"/>
    <w:rsid w:val="002E5FC2"/>
    <w:rsid w:val="002F7FC8"/>
    <w:rsid w:val="00312764"/>
    <w:rsid w:val="00317BA9"/>
    <w:rsid w:val="003221C2"/>
    <w:rsid w:val="00322A6D"/>
    <w:rsid w:val="00324022"/>
    <w:rsid w:val="00334015"/>
    <w:rsid w:val="00335D65"/>
    <w:rsid w:val="00337963"/>
    <w:rsid w:val="00341E0E"/>
    <w:rsid w:val="00345DA0"/>
    <w:rsid w:val="00347E49"/>
    <w:rsid w:val="003513FF"/>
    <w:rsid w:val="0039228B"/>
    <w:rsid w:val="003929DA"/>
    <w:rsid w:val="003943D6"/>
    <w:rsid w:val="003A745D"/>
    <w:rsid w:val="003B0DFB"/>
    <w:rsid w:val="003B18FB"/>
    <w:rsid w:val="003B4E0D"/>
    <w:rsid w:val="003B6B85"/>
    <w:rsid w:val="003D1F05"/>
    <w:rsid w:val="0040022F"/>
    <w:rsid w:val="00400C99"/>
    <w:rsid w:val="004037B8"/>
    <w:rsid w:val="0040561B"/>
    <w:rsid w:val="0041101E"/>
    <w:rsid w:val="00412BDF"/>
    <w:rsid w:val="0041398C"/>
    <w:rsid w:val="00415602"/>
    <w:rsid w:val="004158E4"/>
    <w:rsid w:val="0042044F"/>
    <w:rsid w:val="00424FD7"/>
    <w:rsid w:val="00426DE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F006A"/>
    <w:rsid w:val="004F00D9"/>
    <w:rsid w:val="004F27A1"/>
    <w:rsid w:val="004F4654"/>
    <w:rsid w:val="004F544B"/>
    <w:rsid w:val="00501458"/>
    <w:rsid w:val="005035DB"/>
    <w:rsid w:val="00531C40"/>
    <w:rsid w:val="005340D4"/>
    <w:rsid w:val="0054138F"/>
    <w:rsid w:val="0054726A"/>
    <w:rsid w:val="0055296D"/>
    <w:rsid w:val="005541D4"/>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D4EDB"/>
    <w:rsid w:val="005E516B"/>
    <w:rsid w:val="005E5E35"/>
    <w:rsid w:val="005F0E8F"/>
    <w:rsid w:val="005F6BB0"/>
    <w:rsid w:val="0060158F"/>
    <w:rsid w:val="00605DCC"/>
    <w:rsid w:val="006074CE"/>
    <w:rsid w:val="0061680A"/>
    <w:rsid w:val="006228D2"/>
    <w:rsid w:val="006238D6"/>
    <w:rsid w:val="0062410F"/>
    <w:rsid w:val="00626566"/>
    <w:rsid w:val="00630733"/>
    <w:rsid w:val="006338D3"/>
    <w:rsid w:val="00643426"/>
    <w:rsid w:val="00651A01"/>
    <w:rsid w:val="00654932"/>
    <w:rsid w:val="00662F1B"/>
    <w:rsid w:val="00662F86"/>
    <w:rsid w:val="00666689"/>
    <w:rsid w:val="006763C4"/>
    <w:rsid w:val="00677300"/>
    <w:rsid w:val="00682E83"/>
    <w:rsid w:val="0069184F"/>
    <w:rsid w:val="00692769"/>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3916"/>
    <w:rsid w:val="00704CFF"/>
    <w:rsid w:val="007069D3"/>
    <w:rsid w:val="007079B2"/>
    <w:rsid w:val="007100E8"/>
    <w:rsid w:val="0071123F"/>
    <w:rsid w:val="00713654"/>
    <w:rsid w:val="0072015B"/>
    <w:rsid w:val="0072290A"/>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83E15"/>
    <w:rsid w:val="007860B7"/>
    <w:rsid w:val="00790294"/>
    <w:rsid w:val="00790E64"/>
    <w:rsid w:val="007912D8"/>
    <w:rsid w:val="0079178C"/>
    <w:rsid w:val="0079462D"/>
    <w:rsid w:val="007955D0"/>
    <w:rsid w:val="007A0909"/>
    <w:rsid w:val="007A2C2F"/>
    <w:rsid w:val="007A34BD"/>
    <w:rsid w:val="007A6DDA"/>
    <w:rsid w:val="007B4F3B"/>
    <w:rsid w:val="007B59D1"/>
    <w:rsid w:val="007C20D6"/>
    <w:rsid w:val="007C5AF7"/>
    <w:rsid w:val="007C6A33"/>
    <w:rsid w:val="007D19BC"/>
    <w:rsid w:val="007D3503"/>
    <w:rsid w:val="007D5917"/>
    <w:rsid w:val="007E0F98"/>
    <w:rsid w:val="007E73CA"/>
    <w:rsid w:val="007F3FAB"/>
    <w:rsid w:val="00800E35"/>
    <w:rsid w:val="00806EC0"/>
    <w:rsid w:val="00815DF9"/>
    <w:rsid w:val="008177C8"/>
    <w:rsid w:val="0082199C"/>
    <w:rsid w:val="008335B2"/>
    <w:rsid w:val="008364DB"/>
    <w:rsid w:val="00842EFC"/>
    <w:rsid w:val="008459D0"/>
    <w:rsid w:val="00851E04"/>
    <w:rsid w:val="00853BCA"/>
    <w:rsid w:val="00853FCA"/>
    <w:rsid w:val="008605C4"/>
    <w:rsid w:val="00870FC6"/>
    <w:rsid w:val="00882A19"/>
    <w:rsid w:val="00882C01"/>
    <w:rsid w:val="00892B56"/>
    <w:rsid w:val="008A487B"/>
    <w:rsid w:val="008B2D42"/>
    <w:rsid w:val="008B49E6"/>
    <w:rsid w:val="008C0B52"/>
    <w:rsid w:val="008C1A68"/>
    <w:rsid w:val="008C1FFB"/>
    <w:rsid w:val="008C5C2E"/>
    <w:rsid w:val="008D20AF"/>
    <w:rsid w:val="008E0207"/>
    <w:rsid w:val="008E4EBC"/>
    <w:rsid w:val="008E5B34"/>
    <w:rsid w:val="008F1B90"/>
    <w:rsid w:val="008F29B3"/>
    <w:rsid w:val="008F3899"/>
    <w:rsid w:val="008F7A7B"/>
    <w:rsid w:val="00904884"/>
    <w:rsid w:val="009060AB"/>
    <w:rsid w:val="00915016"/>
    <w:rsid w:val="00917819"/>
    <w:rsid w:val="00921C13"/>
    <w:rsid w:val="009233B6"/>
    <w:rsid w:val="00924B7C"/>
    <w:rsid w:val="009275A0"/>
    <w:rsid w:val="0093070E"/>
    <w:rsid w:val="00930DCC"/>
    <w:rsid w:val="00934CB5"/>
    <w:rsid w:val="00943B14"/>
    <w:rsid w:val="00952239"/>
    <w:rsid w:val="00954444"/>
    <w:rsid w:val="009602D5"/>
    <w:rsid w:val="0097387C"/>
    <w:rsid w:val="00974006"/>
    <w:rsid w:val="009847A3"/>
    <w:rsid w:val="009917D9"/>
    <w:rsid w:val="009960A6"/>
    <w:rsid w:val="009A15E2"/>
    <w:rsid w:val="009A1A5F"/>
    <w:rsid w:val="009A45CF"/>
    <w:rsid w:val="009B1E2B"/>
    <w:rsid w:val="009B5460"/>
    <w:rsid w:val="009B7AC1"/>
    <w:rsid w:val="009C04FF"/>
    <w:rsid w:val="009D247D"/>
    <w:rsid w:val="009D7C28"/>
    <w:rsid w:val="009E32E4"/>
    <w:rsid w:val="009E36A7"/>
    <w:rsid w:val="009E4E80"/>
    <w:rsid w:val="009F501D"/>
    <w:rsid w:val="00A01739"/>
    <w:rsid w:val="00A051E1"/>
    <w:rsid w:val="00A054A4"/>
    <w:rsid w:val="00A1398D"/>
    <w:rsid w:val="00A13BE0"/>
    <w:rsid w:val="00A177EA"/>
    <w:rsid w:val="00A27DD8"/>
    <w:rsid w:val="00A3325A"/>
    <w:rsid w:val="00A34CB5"/>
    <w:rsid w:val="00A371CF"/>
    <w:rsid w:val="00A4015B"/>
    <w:rsid w:val="00A46065"/>
    <w:rsid w:val="00A477E5"/>
    <w:rsid w:val="00A47923"/>
    <w:rsid w:val="00A51AED"/>
    <w:rsid w:val="00A60A45"/>
    <w:rsid w:val="00A61053"/>
    <w:rsid w:val="00A61C0E"/>
    <w:rsid w:val="00A71AE2"/>
    <w:rsid w:val="00A82063"/>
    <w:rsid w:val="00A862AF"/>
    <w:rsid w:val="00A87443"/>
    <w:rsid w:val="00A90CA0"/>
    <w:rsid w:val="00A973C7"/>
    <w:rsid w:val="00A979F5"/>
    <w:rsid w:val="00AA048E"/>
    <w:rsid w:val="00AA088B"/>
    <w:rsid w:val="00AA3097"/>
    <w:rsid w:val="00AA42D2"/>
    <w:rsid w:val="00AA6993"/>
    <w:rsid w:val="00AB4A29"/>
    <w:rsid w:val="00AC461D"/>
    <w:rsid w:val="00AC4E0E"/>
    <w:rsid w:val="00AD03A2"/>
    <w:rsid w:val="00AD4C39"/>
    <w:rsid w:val="00AD78AF"/>
    <w:rsid w:val="00AE33A9"/>
    <w:rsid w:val="00AE68FB"/>
    <w:rsid w:val="00AE74D3"/>
    <w:rsid w:val="00AF2C0A"/>
    <w:rsid w:val="00AF3988"/>
    <w:rsid w:val="00AF3F63"/>
    <w:rsid w:val="00AF5202"/>
    <w:rsid w:val="00AF6552"/>
    <w:rsid w:val="00AF6F60"/>
    <w:rsid w:val="00B107F9"/>
    <w:rsid w:val="00B10E77"/>
    <w:rsid w:val="00B123C7"/>
    <w:rsid w:val="00B13E27"/>
    <w:rsid w:val="00B144D2"/>
    <w:rsid w:val="00B16CBB"/>
    <w:rsid w:val="00B2233D"/>
    <w:rsid w:val="00B26522"/>
    <w:rsid w:val="00B268EA"/>
    <w:rsid w:val="00B30D45"/>
    <w:rsid w:val="00B33CAB"/>
    <w:rsid w:val="00B34C70"/>
    <w:rsid w:val="00B3570D"/>
    <w:rsid w:val="00B35EFF"/>
    <w:rsid w:val="00B41993"/>
    <w:rsid w:val="00B46564"/>
    <w:rsid w:val="00B50FA0"/>
    <w:rsid w:val="00B5677F"/>
    <w:rsid w:val="00B601B1"/>
    <w:rsid w:val="00B63A6E"/>
    <w:rsid w:val="00B65FAD"/>
    <w:rsid w:val="00B702DE"/>
    <w:rsid w:val="00B71B78"/>
    <w:rsid w:val="00B72EB1"/>
    <w:rsid w:val="00B743B4"/>
    <w:rsid w:val="00B7498A"/>
    <w:rsid w:val="00B82131"/>
    <w:rsid w:val="00B84568"/>
    <w:rsid w:val="00B84D9D"/>
    <w:rsid w:val="00B96AF0"/>
    <w:rsid w:val="00BA404F"/>
    <w:rsid w:val="00BB010D"/>
    <w:rsid w:val="00BB3387"/>
    <w:rsid w:val="00BB69D4"/>
    <w:rsid w:val="00BB7899"/>
    <w:rsid w:val="00BC2F12"/>
    <w:rsid w:val="00BC2FAB"/>
    <w:rsid w:val="00BC609B"/>
    <w:rsid w:val="00BD2D1C"/>
    <w:rsid w:val="00BD772B"/>
    <w:rsid w:val="00BE1EEA"/>
    <w:rsid w:val="00BE2EE8"/>
    <w:rsid w:val="00BE6070"/>
    <w:rsid w:val="00BF29FD"/>
    <w:rsid w:val="00BF2E7F"/>
    <w:rsid w:val="00BF3997"/>
    <w:rsid w:val="00C07EE9"/>
    <w:rsid w:val="00C10145"/>
    <w:rsid w:val="00C10DC3"/>
    <w:rsid w:val="00C151C2"/>
    <w:rsid w:val="00C16F5B"/>
    <w:rsid w:val="00C179AF"/>
    <w:rsid w:val="00C208FC"/>
    <w:rsid w:val="00C30069"/>
    <w:rsid w:val="00C3105D"/>
    <w:rsid w:val="00C31576"/>
    <w:rsid w:val="00C31D2F"/>
    <w:rsid w:val="00C40DA3"/>
    <w:rsid w:val="00C42121"/>
    <w:rsid w:val="00C42B9C"/>
    <w:rsid w:val="00C448C8"/>
    <w:rsid w:val="00C528EB"/>
    <w:rsid w:val="00C6050B"/>
    <w:rsid w:val="00C609D5"/>
    <w:rsid w:val="00C62196"/>
    <w:rsid w:val="00C63EB2"/>
    <w:rsid w:val="00C6568B"/>
    <w:rsid w:val="00C6597B"/>
    <w:rsid w:val="00C67AE3"/>
    <w:rsid w:val="00C74191"/>
    <w:rsid w:val="00C748E6"/>
    <w:rsid w:val="00C75A82"/>
    <w:rsid w:val="00C772FE"/>
    <w:rsid w:val="00C83DDA"/>
    <w:rsid w:val="00C87F49"/>
    <w:rsid w:val="00C9009E"/>
    <w:rsid w:val="00C957F6"/>
    <w:rsid w:val="00CA2B00"/>
    <w:rsid w:val="00CA2EF7"/>
    <w:rsid w:val="00CB09C0"/>
    <w:rsid w:val="00CB2444"/>
    <w:rsid w:val="00CB75C0"/>
    <w:rsid w:val="00CB7623"/>
    <w:rsid w:val="00CC5DB3"/>
    <w:rsid w:val="00CC786F"/>
    <w:rsid w:val="00CD0EF7"/>
    <w:rsid w:val="00CD368E"/>
    <w:rsid w:val="00CD4227"/>
    <w:rsid w:val="00CE2ACF"/>
    <w:rsid w:val="00CE66CB"/>
    <w:rsid w:val="00CF07F3"/>
    <w:rsid w:val="00CF152A"/>
    <w:rsid w:val="00CF2016"/>
    <w:rsid w:val="00CF24E9"/>
    <w:rsid w:val="00D00172"/>
    <w:rsid w:val="00D04175"/>
    <w:rsid w:val="00D06165"/>
    <w:rsid w:val="00D11C4B"/>
    <w:rsid w:val="00D1202C"/>
    <w:rsid w:val="00D14229"/>
    <w:rsid w:val="00D17FBB"/>
    <w:rsid w:val="00D223F3"/>
    <w:rsid w:val="00D22570"/>
    <w:rsid w:val="00D22867"/>
    <w:rsid w:val="00D271E5"/>
    <w:rsid w:val="00D30F41"/>
    <w:rsid w:val="00D34464"/>
    <w:rsid w:val="00D37EC7"/>
    <w:rsid w:val="00D426E3"/>
    <w:rsid w:val="00D465BB"/>
    <w:rsid w:val="00D55837"/>
    <w:rsid w:val="00D640FC"/>
    <w:rsid w:val="00D647FE"/>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6D1F"/>
    <w:rsid w:val="00DC6D5E"/>
    <w:rsid w:val="00DD1129"/>
    <w:rsid w:val="00DD3DF3"/>
    <w:rsid w:val="00DD4DAB"/>
    <w:rsid w:val="00DE0A05"/>
    <w:rsid w:val="00DE2416"/>
    <w:rsid w:val="00DE31FB"/>
    <w:rsid w:val="00DE77B2"/>
    <w:rsid w:val="00DF0A2C"/>
    <w:rsid w:val="00DF7395"/>
    <w:rsid w:val="00DF7920"/>
    <w:rsid w:val="00E02380"/>
    <w:rsid w:val="00E04820"/>
    <w:rsid w:val="00E148A1"/>
    <w:rsid w:val="00E2153B"/>
    <w:rsid w:val="00E22FF5"/>
    <w:rsid w:val="00E3083D"/>
    <w:rsid w:val="00E33168"/>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1D2B"/>
    <w:rsid w:val="00E937CE"/>
    <w:rsid w:val="00E942BC"/>
    <w:rsid w:val="00E94EEF"/>
    <w:rsid w:val="00E973C1"/>
    <w:rsid w:val="00E97978"/>
    <w:rsid w:val="00EA6CE8"/>
    <w:rsid w:val="00EB34D8"/>
    <w:rsid w:val="00EB3EB4"/>
    <w:rsid w:val="00EB6BF3"/>
    <w:rsid w:val="00EC5DCD"/>
    <w:rsid w:val="00EC77DA"/>
    <w:rsid w:val="00EE1236"/>
    <w:rsid w:val="00EE2A8E"/>
    <w:rsid w:val="00EF2DD4"/>
    <w:rsid w:val="00F00022"/>
    <w:rsid w:val="00F0073B"/>
    <w:rsid w:val="00F00CEA"/>
    <w:rsid w:val="00F03680"/>
    <w:rsid w:val="00F03FFA"/>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3EC9"/>
    <w:rsid w:val="00F8196F"/>
    <w:rsid w:val="00F95C2E"/>
    <w:rsid w:val="00F970D1"/>
    <w:rsid w:val="00FA3899"/>
    <w:rsid w:val="00FA4A17"/>
    <w:rsid w:val="00FA604B"/>
    <w:rsid w:val="00FA72FA"/>
    <w:rsid w:val="00FA774D"/>
    <w:rsid w:val="00FB337D"/>
    <w:rsid w:val="00FC4579"/>
    <w:rsid w:val="00FC762E"/>
    <w:rsid w:val="00FD34D5"/>
    <w:rsid w:val="00FD3CDA"/>
    <w:rsid w:val="00FE2F26"/>
    <w:rsid w:val="00FE3BEB"/>
    <w:rsid w:val="00FE3C18"/>
    <w:rsid w:val="00FE5D7F"/>
    <w:rsid w:val="00FF1023"/>
    <w:rsid w:val="00FF103B"/>
    <w:rsid w:val="00FF2BFA"/>
    <w:rsid w:val="00FF3864"/>
    <w:rsid w:val="00FF4956"/>
    <w:rsid w:val="00FF5702"/>
    <w:rsid w:val="014B7F71"/>
    <w:rsid w:val="01E01D0E"/>
    <w:rsid w:val="06D05B2E"/>
    <w:rsid w:val="0878105A"/>
    <w:rsid w:val="09A556D1"/>
    <w:rsid w:val="0B00187B"/>
    <w:rsid w:val="0B5C1EEC"/>
    <w:rsid w:val="0B8D2B18"/>
    <w:rsid w:val="0F1961FF"/>
    <w:rsid w:val="10074400"/>
    <w:rsid w:val="10502A85"/>
    <w:rsid w:val="1160654C"/>
    <w:rsid w:val="11E923CA"/>
    <w:rsid w:val="129760EE"/>
    <w:rsid w:val="164F25E9"/>
    <w:rsid w:val="1A366549"/>
    <w:rsid w:val="1C691F5E"/>
    <w:rsid w:val="1F961BB7"/>
    <w:rsid w:val="23422376"/>
    <w:rsid w:val="255C6D0E"/>
    <w:rsid w:val="26DB434F"/>
    <w:rsid w:val="28CB75D1"/>
    <w:rsid w:val="295C6E2D"/>
    <w:rsid w:val="29D84B76"/>
    <w:rsid w:val="2AE01F34"/>
    <w:rsid w:val="2C8514E3"/>
    <w:rsid w:val="2DEE2DD7"/>
    <w:rsid w:val="307D1FD3"/>
    <w:rsid w:val="33B421B0"/>
    <w:rsid w:val="3578536D"/>
    <w:rsid w:val="35C443F0"/>
    <w:rsid w:val="35F76E1E"/>
    <w:rsid w:val="3A1439A9"/>
    <w:rsid w:val="3B45740C"/>
    <w:rsid w:val="3CB15833"/>
    <w:rsid w:val="3ECF5E37"/>
    <w:rsid w:val="3F087854"/>
    <w:rsid w:val="404F2310"/>
    <w:rsid w:val="40696FCE"/>
    <w:rsid w:val="42DF0A26"/>
    <w:rsid w:val="457A48DC"/>
    <w:rsid w:val="457D34CB"/>
    <w:rsid w:val="46887D07"/>
    <w:rsid w:val="46B207D1"/>
    <w:rsid w:val="4B50040A"/>
    <w:rsid w:val="4BC14C0A"/>
    <w:rsid w:val="4C3C0B94"/>
    <w:rsid w:val="4E061402"/>
    <w:rsid w:val="515403B2"/>
    <w:rsid w:val="517D13CC"/>
    <w:rsid w:val="561E348E"/>
    <w:rsid w:val="564E313D"/>
    <w:rsid w:val="566C6184"/>
    <w:rsid w:val="5B305D11"/>
    <w:rsid w:val="5E8919FE"/>
    <w:rsid w:val="5E996BE5"/>
    <w:rsid w:val="5FB2448F"/>
    <w:rsid w:val="651A43A3"/>
    <w:rsid w:val="67561ABE"/>
    <w:rsid w:val="691A385D"/>
    <w:rsid w:val="69A63917"/>
    <w:rsid w:val="6A405C4B"/>
    <w:rsid w:val="6E943FED"/>
    <w:rsid w:val="6ECD53E2"/>
    <w:rsid w:val="752D11BC"/>
    <w:rsid w:val="756141E1"/>
    <w:rsid w:val="77466F96"/>
    <w:rsid w:val="781F6A99"/>
    <w:rsid w:val="784F47ED"/>
    <w:rsid w:val="7AC64DA8"/>
    <w:rsid w:val="7F4D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34"/>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3">
    <w:name w:val="heading 2"/>
    <w:basedOn w:val="1"/>
    <w:next w:val="1"/>
    <w:link w:val="35"/>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36"/>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link w:val="39"/>
    <w:qFormat/>
    <w:uiPriority w:val="99"/>
    <w:pPr>
      <w:autoSpaceDE w:val="0"/>
      <w:autoSpaceDN w:val="0"/>
      <w:adjustRightInd w:val="0"/>
      <w:ind w:firstLine="420"/>
    </w:pPr>
    <w:rPr>
      <w:rFonts w:ascii="宋体"/>
      <w:sz w:val="24"/>
    </w:rPr>
  </w:style>
  <w:style w:type="paragraph" w:styleId="6">
    <w:name w:val="Document Map"/>
    <w:basedOn w:val="1"/>
    <w:link w:val="40"/>
    <w:unhideWhenUsed/>
    <w:qFormat/>
    <w:uiPriority w:val="99"/>
    <w:rPr>
      <w:rFonts w:ascii="宋体" w:hAnsiTheme="minorHAnsi" w:cstheme="minorBidi"/>
      <w:sz w:val="18"/>
      <w:szCs w:val="18"/>
    </w:rPr>
  </w:style>
  <w:style w:type="paragraph" w:styleId="7">
    <w:name w:val="annotation text"/>
    <w:basedOn w:val="1"/>
    <w:link w:val="37"/>
    <w:unhideWhenUsed/>
    <w:qFormat/>
    <w:uiPriority w:val="0"/>
    <w:pPr>
      <w:jc w:val="left"/>
    </w:pPr>
  </w:style>
  <w:style w:type="paragraph" w:styleId="8">
    <w:name w:val="Body Text"/>
    <w:next w:val="1"/>
    <w:link w:val="4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9">
    <w:name w:val="Body Text Indent"/>
    <w:next w:val="1"/>
    <w:link w:val="42"/>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5"/>
    <w:link w:val="43"/>
    <w:qFormat/>
    <w:uiPriority w:val="0"/>
    <w:rPr>
      <w:rFonts w:ascii="宋体" w:hAnsi="宋体" w:eastAsiaTheme="minorEastAsia" w:cstheme="minorBidi"/>
      <w:sz w:val="26"/>
      <w:szCs w:val="22"/>
    </w:rPr>
  </w:style>
  <w:style w:type="paragraph" w:styleId="12">
    <w:name w:val="Date"/>
    <w:next w:val="1"/>
    <w:link w:val="44"/>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5"/>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6"/>
    <w:unhideWhenUsed/>
    <w:qFormat/>
    <w:uiPriority w:val="0"/>
    <w:rPr>
      <w:rFonts w:asciiTheme="minorHAnsi" w:hAnsiTheme="minorHAnsi" w:cstheme="minorBidi"/>
      <w:sz w:val="18"/>
      <w:szCs w:val="18"/>
    </w:rPr>
  </w:style>
  <w:style w:type="paragraph" w:styleId="15">
    <w:name w:val="footer"/>
    <w:basedOn w:val="1"/>
    <w:link w:val="47"/>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8"/>
    <w:qFormat/>
    <w:uiPriority w:val="99"/>
    <w:pPr>
      <w:pBdr>
        <w:bottom w:val="single" w:color="auto" w:sz="6" w:space="1"/>
      </w:pBdr>
      <w:tabs>
        <w:tab w:val="center" w:pos="4153"/>
        <w:tab w:val="right" w:pos="8307"/>
      </w:tabs>
      <w:snapToGrid w:val="0"/>
      <w:jc w:val="center"/>
    </w:pPr>
    <w:rPr>
      <w:sz w:val="18"/>
    </w:rPr>
  </w:style>
  <w:style w:type="paragraph" w:styleId="17">
    <w:name w:val="toc 1"/>
    <w:basedOn w:val="1"/>
    <w:next w:val="1"/>
    <w:unhideWhenUsed/>
    <w:qFormat/>
    <w:uiPriority w:val="39"/>
    <w:pPr>
      <w:tabs>
        <w:tab w:val="right" w:leader="dot" w:pos="9345"/>
      </w:tabs>
    </w:pPr>
    <w:rPr>
      <w:szCs w:val="24"/>
    </w:rPr>
  </w:style>
  <w:style w:type="paragraph" w:styleId="18">
    <w:name w:val="toc 4"/>
    <w:basedOn w:val="1"/>
    <w:next w:val="1"/>
    <w:qFormat/>
    <w:uiPriority w:val="0"/>
    <w:pPr>
      <w:ind w:left="1260"/>
    </w:pPr>
  </w:style>
  <w:style w:type="paragraph" w:styleId="19">
    <w:name w:val="Normal (Web)"/>
    <w:basedOn w:val="1"/>
    <w:qFormat/>
    <w:uiPriority w:val="0"/>
    <w:pPr>
      <w:spacing w:before="100" w:beforeAutospacing="1" w:after="100" w:afterAutospacing="1"/>
      <w:jc w:val="left"/>
    </w:pPr>
    <w:rPr>
      <w:rFonts w:ascii="Calibri" w:hAnsi="Calibri"/>
      <w:kern w:val="0"/>
      <w:sz w:val="24"/>
      <w:szCs w:val="24"/>
    </w:rPr>
  </w:style>
  <w:style w:type="paragraph" w:styleId="20">
    <w:name w:val="annotation subject"/>
    <w:basedOn w:val="7"/>
    <w:next w:val="7"/>
    <w:link w:val="38"/>
    <w:unhideWhenUsed/>
    <w:qFormat/>
    <w:uiPriority w:val="0"/>
    <w:rPr>
      <w:rFonts w:asciiTheme="minorHAnsi" w:hAnsiTheme="minorHAnsi" w:cstheme="minorBidi"/>
      <w:b/>
      <w:bCs/>
      <w:szCs w:val="22"/>
    </w:r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qFormat/>
    <w:uiPriority w:val="0"/>
  </w:style>
  <w:style w:type="character" w:styleId="26">
    <w:name w:val="Emphasis"/>
    <w:basedOn w:val="23"/>
    <w:qFormat/>
    <w:uiPriority w:val="0"/>
  </w:style>
  <w:style w:type="character" w:styleId="27">
    <w:name w:val="HTML Definition"/>
    <w:basedOn w:val="23"/>
    <w:qFormat/>
    <w:uiPriority w:val="0"/>
  </w:style>
  <w:style w:type="character" w:styleId="28">
    <w:name w:val="HTML Acronym"/>
    <w:basedOn w:val="23"/>
    <w:qFormat/>
    <w:uiPriority w:val="0"/>
  </w:style>
  <w:style w:type="character" w:styleId="29">
    <w:name w:val="HTML Variable"/>
    <w:basedOn w:val="23"/>
    <w:qFormat/>
    <w:uiPriority w:val="0"/>
  </w:style>
  <w:style w:type="character" w:styleId="30">
    <w:name w:val="Hyperlink"/>
    <w:qFormat/>
    <w:uiPriority w:val="99"/>
    <w:rPr>
      <w:color w:val="0000FF"/>
      <w:u w:val="single"/>
    </w:rPr>
  </w:style>
  <w:style w:type="character" w:styleId="31">
    <w:name w:val="HTML Code"/>
    <w:basedOn w:val="23"/>
    <w:qFormat/>
    <w:uiPriority w:val="0"/>
    <w:rPr>
      <w:rFonts w:ascii="Courier New" w:hAnsi="Courier New"/>
      <w:sz w:val="20"/>
    </w:rPr>
  </w:style>
  <w:style w:type="character" w:styleId="32">
    <w:name w:val="annotation reference"/>
    <w:unhideWhenUsed/>
    <w:qFormat/>
    <w:uiPriority w:val="0"/>
    <w:rPr>
      <w:sz w:val="21"/>
      <w:szCs w:val="21"/>
    </w:rPr>
  </w:style>
  <w:style w:type="character" w:styleId="33">
    <w:name w:val="HTML Cite"/>
    <w:basedOn w:val="23"/>
    <w:qFormat/>
    <w:uiPriority w:val="0"/>
  </w:style>
  <w:style w:type="character" w:customStyle="1" w:styleId="34">
    <w:name w:val="标题 1 Char"/>
    <w:basedOn w:val="23"/>
    <w:link w:val="2"/>
    <w:qFormat/>
    <w:uiPriority w:val="0"/>
    <w:rPr>
      <w:rFonts w:ascii="黑体" w:hAnsi="Times New Roman" w:eastAsia="黑体" w:cs="Times New Roman"/>
      <w:sz w:val="52"/>
      <w:szCs w:val="24"/>
    </w:rPr>
  </w:style>
  <w:style w:type="character" w:customStyle="1" w:styleId="35">
    <w:name w:val="标题 2 Char"/>
    <w:basedOn w:val="23"/>
    <w:link w:val="3"/>
    <w:qFormat/>
    <w:uiPriority w:val="0"/>
    <w:rPr>
      <w:rFonts w:ascii="Arial" w:hAnsi="Arial" w:eastAsia="黑体" w:cs="Times New Roman"/>
      <w:b/>
      <w:sz w:val="32"/>
      <w:szCs w:val="20"/>
    </w:rPr>
  </w:style>
  <w:style w:type="character" w:customStyle="1" w:styleId="36">
    <w:name w:val="标题 3 Char"/>
    <w:basedOn w:val="23"/>
    <w:link w:val="4"/>
    <w:qFormat/>
    <w:uiPriority w:val="0"/>
    <w:rPr>
      <w:rFonts w:ascii="Times New Roman" w:hAnsi="Times New Roman" w:eastAsia="宋体" w:cs="Times New Roman"/>
      <w:b/>
      <w:sz w:val="32"/>
      <w:szCs w:val="20"/>
    </w:rPr>
  </w:style>
  <w:style w:type="character" w:customStyle="1" w:styleId="37">
    <w:name w:val="批注文字 Char1"/>
    <w:basedOn w:val="23"/>
    <w:link w:val="7"/>
    <w:semiHidden/>
    <w:qFormat/>
    <w:uiPriority w:val="0"/>
    <w:rPr>
      <w:rFonts w:ascii="Times New Roman" w:hAnsi="Times New Roman" w:eastAsia="宋体" w:cs="Times New Roman"/>
      <w:szCs w:val="20"/>
    </w:rPr>
  </w:style>
  <w:style w:type="character" w:customStyle="1" w:styleId="38">
    <w:name w:val="批注主题 Char1"/>
    <w:basedOn w:val="37"/>
    <w:link w:val="20"/>
    <w:semiHidden/>
    <w:qFormat/>
    <w:uiPriority w:val="99"/>
    <w:rPr>
      <w:rFonts w:ascii="Times New Roman" w:hAnsi="Times New Roman" w:eastAsia="宋体" w:cs="Times New Roman"/>
      <w:b/>
      <w:bCs/>
      <w:szCs w:val="20"/>
    </w:rPr>
  </w:style>
  <w:style w:type="character" w:customStyle="1" w:styleId="39">
    <w:name w:val="正文缩进 Char"/>
    <w:link w:val="5"/>
    <w:qFormat/>
    <w:uiPriority w:val="99"/>
    <w:rPr>
      <w:rFonts w:ascii="宋体" w:hAnsi="Times New Roman" w:eastAsia="宋体" w:cs="Times New Roman"/>
      <w:kern w:val="2"/>
      <w:sz w:val="24"/>
    </w:rPr>
  </w:style>
  <w:style w:type="character" w:customStyle="1" w:styleId="40">
    <w:name w:val="文档结构图 Char1"/>
    <w:basedOn w:val="23"/>
    <w:link w:val="6"/>
    <w:semiHidden/>
    <w:qFormat/>
    <w:uiPriority w:val="99"/>
    <w:rPr>
      <w:rFonts w:ascii="宋体" w:hAnsi="Times New Roman" w:eastAsia="宋体" w:cs="Times New Roman"/>
      <w:sz w:val="18"/>
      <w:szCs w:val="18"/>
    </w:rPr>
  </w:style>
  <w:style w:type="character" w:customStyle="1" w:styleId="41">
    <w:name w:val="正文文本 Char"/>
    <w:basedOn w:val="23"/>
    <w:link w:val="8"/>
    <w:qFormat/>
    <w:uiPriority w:val="0"/>
    <w:rPr>
      <w:rFonts w:ascii="Times New Roman" w:hAnsi="Times New Roman" w:eastAsia="宋体" w:cs="Times New Roman"/>
      <w:szCs w:val="24"/>
    </w:rPr>
  </w:style>
  <w:style w:type="character" w:customStyle="1" w:styleId="42">
    <w:name w:val="正文文本缩进 Char"/>
    <w:basedOn w:val="23"/>
    <w:link w:val="9"/>
    <w:qFormat/>
    <w:uiPriority w:val="0"/>
    <w:rPr>
      <w:rFonts w:ascii="宋体" w:hAnsi="Times New Roman" w:eastAsia="宋体" w:cs="Century"/>
      <w:spacing w:val="2"/>
      <w:szCs w:val="24"/>
    </w:rPr>
  </w:style>
  <w:style w:type="character" w:customStyle="1" w:styleId="43">
    <w:name w:val="纯文本 Char1"/>
    <w:basedOn w:val="23"/>
    <w:link w:val="11"/>
    <w:qFormat/>
    <w:uiPriority w:val="99"/>
    <w:rPr>
      <w:rFonts w:ascii="宋体" w:hAnsi="Courier New" w:eastAsia="宋体" w:cs="Courier New"/>
      <w:szCs w:val="21"/>
    </w:rPr>
  </w:style>
  <w:style w:type="character" w:customStyle="1" w:styleId="44">
    <w:name w:val="日期 Char"/>
    <w:basedOn w:val="23"/>
    <w:link w:val="12"/>
    <w:qFormat/>
    <w:uiPriority w:val="0"/>
    <w:rPr>
      <w:rFonts w:ascii="宋体" w:hAnsi="宋体" w:eastAsia="宋体" w:cs="Times New Roman"/>
      <w:sz w:val="24"/>
      <w:szCs w:val="20"/>
    </w:rPr>
  </w:style>
  <w:style w:type="character" w:customStyle="1" w:styleId="45">
    <w:name w:val="正文文本缩进 2 Char"/>
    <w:basedOn w:val="23"/>
    <w:link w:val="13"/>
    <w:qFormat/>
    <w:uiPriority w:val="0"/>
    <w:rPr>
      <w:rFonts w:ascii="Times New Roman" w:hAnsi="Times New Roman" w:eastAsia="宋体" w:cs="Times New Roman"/>
      <w:szCs w:val="24"/>
    </w:rPr>
  </w:style>
  <w:style w:type="character" w:customStyle="1" w:styleId="46">
    <w:name w:val="批注框文本 Char1"/>
    <w:basedOn w:val="23"/>
    <w:link w:val="14"/>
    <w:semiHidden/>
    <w:qFormat/>
    <w:uiPriority w:val="99"/>
    <w:rPr>
      <w:rFonts w:ascii="Times New Roman" w:hAnsi="Times New Roman" w:eastAsia="宋体" w:cs="Times New Roman"/>
      <w:sz w:val="18"/>
      <w:szCs w:val="18"/>
    </w:rPr>
  </w:style>
  <w:style w:type="character" w:customStyle="1" w:styleId="47">
    <w:name w:val="页脚 Char1"/>
    <w:basedOn w:val="23"/>
    <w:link w:val="15"/>
    <w:semiHidden/>
    <w:qFormat/>
    <w:uiPriority w:val="99"/>
    <w:rPr>
      <w:rFonts w:ascii="Times New Roman" w:hAnsi="Times New Roman" w:eastAsia="宋体" w:cs="Times New Roman"/>
      <w:sz w:val="18"/>
      <w:szCs w:val="18"/>
    </w:rPr>
  </w:style>
  <w:style w:type="character" w:customStyle="1" w:styleId="48">
    <w:name w:val="页眉 Char"/>
    <w:basedOn w:val="23"/>
    <w:link w:val="16"/>
    <w:qFormat/>
    <w:uiPriority w:val="99"/>
    <w:rPr>
      <w:rFonts w:ascii="Times New Roman" w:hAnsi="Times New Roman" w:eastAsia="宋体" w:cs="Times New Roman"/>
      <w:sz w:val="18"/>
      <w:szCs w:val="20"/>
    </w:rPr>
  </w:style>
  <w:style w:type="character" w:customStyle="1" w:styleId="49">
    <w:name w:val="批注框文本 Char"/>
    <w:qFormat/>
    <w:uiPriority w:val="0"/>
    <w:rPr>
      <w:rFonts w:eastAsia="宋体"/>
      <w:sz w:val="18"/>
      <w:szCs w:val="18"/>
    </w:rPr>
  </w:style>
  <w:style w:type="character" w:customStyle="1" w:styleId="50">
    <w:name w:val="批注主题 Char"/>
    <w:qFormat/>
    <w:uiPriority w:val="0"/>
    <w:rPr>
      <w:rFonts w:eastAsia="宋体"/>
      <w:b/>
      <w:bCs/>
    </w:rPr>
  </w:style>
  <w:style w:type="character" w:customStyle="1" w:styleId="51">
    <w:name w:val="文档结构图 Char"/>
    <w:qFormat/>
    <w:uiPriority w:val="99"/>
    <w:rPr>
      <w:rFonts w:ascii="宋体" w:eastAsia="宋体"/>
      <w:sz w:val="18"/>
      <w:szCs w:val="18"/>
    </w:rPr>
  </w:style>
  <w:style w:type="character" w:customStyle="1" w:styleId="52">
    <w:name w:val="批注文字 Char"/>
    <w:qFormat/>
    <w:uiPriority w:val="0"/>
    <w:rPr>
      <w:rFonts w:eastAsia="宋体"/>
      <w:kern w:val="2"/>
      <w:sz w:val="21"/>
    </w:rPr>
  </w:style>
  <w:style w:type="character" w:customStyle="1" w:styleId="53">
    <w:name w:val="页脚 Char"/>
    <w:qFormat/>
    <w:uiPriority w:val="0"/>
    <w:rPr>
      <w:rFonts w:eastAsia="宋体"/>
      <w:sz w:val="18"/>
    </w:rPr>
  </w:style>
  <w:style w:type="character" w:customStyle="1" w:styleId="54">
    <w:name w:val="纯文本 Char"/>
    <w:qFormat/>
    <w:uiPriority w:val="0"/>
    <w:rPr>
      <w:rFonts w:ascii="宋体" w:hAnsi="宋体"/>
      <w:sz w:val="26"/>
    </w:rPr>
  </w:style>
  <w:style w:type="paragraph" w:customStyle="1" w:styleId="55">
    <w:name w:val="列出段落1"/>
    <w:basedOn w:val="1"/>
    <w:qFormat/>
    <w:uiPriority w:val="34"/>
    <w:pPr>
      <w:ind w:firstLine="420" w:firstLineChars="200"/>
    </w:pPr>
  </w:style>
  <w:style w:type="paragraph" w:customStyle="1" w:styleId="56">
    <w:name w:val="纯文本1"/>
    <w:next w:val="18"/>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7">
    <w:name w:val="列出段落11"/>
    <w:basedOn w:val="1"/>
    <w:qFormat/>
    <w:uiPriority w:val="99"/>
    <w:pPr>
      <w:ind w:firstLine="420" w:firstLineChars="200"/>
    </w:pPr>
  </w:style>
  <w:style w:type="paragraph" w:customStyle="1" w:styleId="58">
    <w:name w:val="正文文本缩进1"/>
    <w:basedOn w:val="1"/>
    <w:qFormat/>
    <w:uiPriority w:val="0"/>
    <w:pPr>
      <w:spacing w:line="200" w:lineRule="exact"/>
      <w:ind w:firstLine="301"/>
    </w:pPr>
    <w:rPr>
      <w:rFonts w:ascii="宋体" w:hAnsi="Courier New"/>
      <w:spacing w:val="-4"/>
      <w:sz w:val="18"/>
    </w:rPr>
  </w:style>
  <w:style w:type="paragraph" w:customStyle="1" w:styleId="59">
    <w:name w:val="正文文本缩进2"/>
    <w:basedOn w:val="1"/>
    <w:qFormat/>
    <w:uiPriority w:val="0"/>
    <w:pPr>
      <w:spacing w:line="200" w:lineRule="exact"/>
      <w:ind w:firstLine="301"/>
    </w:pPr>
    <w:rPr>
      <w:rFonts w:ascii="宋体" w:hAnsi="Courier New"/>
      <w:spacing w:val="-4"/>
      <w:kern w:val="0"/>
      <w:sz w:val="18"/>
    </w:rPr>
  </w:style>
  <w:style w:type="character" w:customStyle="1" w:styleId="60">
    <w:name w:val="页码1"/>
    <w:basedOn w:val="23"/>
    <w:qFormat/>
    <w:uiPriority w:val="0"/>
  </w:style>
  <w:style w:type="paragraph" w:customStyle="1" w:styleId="61">
    <w:name w:val="正文文本缩进21"/>
    <w:basedOn w:val="1"/>
    <w:qFormat/>
    <w:uiPriority w:val="0"/>
    <w:pPr>
      <w:spacing w:line="200" w:lineRule="exact"/>
      <w:ind w:firstLine="301"/>
    </w:pPr>
    <w:rPr>
      <w:rFonts w:ascii="宋体" w:hAnsi="Courier New"/>
      <w:spacing w:val="-4"/>
      <w:kern w:val="0"/>
      <w:sz w:val="18"/>
    </w:rPr>
  </w:style>
  <w:style w:type="paragraph" w:customStyle="1" w:styleId="62">
    <w:name w:val="修订1"/>
    <w:hidden/>
    <w:semiHidden/>
    <w:qFormat/>
    <w:uiPriority w:val="99"/>
    <w:rPr>
      <w:rFonts w:ascii="Times New Roman" w:hAnsi="Times New Roman" w:eastAsia="宋体" w:cs="Times New Roman"/>
      <w:kern w:val="2"/>
      <w:sz w:val="21"/>
      <w:lang w:val="en-US" w:eastAsia="zh-CN" w:bidi="ar-SA"/>
    </w:rPr>
  </w:style>
  <w:style w:type="paragraph" w:customStyle="1" w:styleId="63">
    <w:name w:val="Í¼±íÕýÎÄ"/>
    <w:basedOn w:val="1"/>
    <w:next w:val="5"/>
    <w:qFormat/>
    <w:uiPriority w:val="0"/>
    <w:pPr>
      <w:ind w:firstLine="420" w:firstLineChars="200"/>
    </w:pPr>
    <w:rPr>
      <w:sz w:val="24"/>
    </w:rPr>
  </w:style>
  <w:style w:type="paragraph" w:styleId="64">
    <w:name w:val="List Paragraph"/>
    <w:basedOn w:val="1"/>
    <w:qFormat/>
    <w:uiPriority w:val="34"/>
    <w:pPr>
      <w:ind w:firstLine="420" w:firstLineChars="200"/>
    </w:pPr>
    <w:rPr>
      <w:rFonts w:ascii="Calibri" w:hAnsi="Calibri"/>
      <w:szCs w:val="22"/>
    </w:rPr>
  </w:style>
  <w:style w:type="character" w:customStyle="1" w:styleId="65">
    <w:name w:val="font01"/>
    <w:qFormat/>
    <w:uiPriority w:val="0"/>
    <w:rPr>
      <w:rFonts w:hint="eastAsia" w:ascii="宋体" w:hAnsi="宋体" w:eastAsia="宋体" w:cs="宋体"/>
      <w:color w:val="000000"/>
      <w:sz w:val="24"/>
      <w:szCs w:val="24"/>
      <w:u w:val="none"/>
    </w:rPr>
  </w:style>
  <w:style w:type="paragraph" w:customStyle="1" w:styleId="66">
    <w:name w:val="纯文本2"/>
    <w:next w:val="18"/>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7">
    <w:name w:val="样式 纯文本 + (符号) 宋体 Char"/>
    <w:link w:val="68"/>
    <w:qFormat/>
    <w:uiPriority w:val="0"/>
    <w:rPr>
      <w:rFonts w:eastAsia="宋体" w:cs="Times New Roman"/>
      <w:sz w:val="21"/>
      <w:szCs w:val="20"/>
    </w:rPr>
  </w:style>
  <w:style w:type="paragraph" w:customStyle="1" w:styleId="68">
    <w:name w:val="样式 纯文本 + (符号) 宋体"/>
    <w:basedOn w:val="11"/>
    <w:link w:val="67"/>
    <w:qFormat/>
    <w:uiPriority w:val="0"/>
    <w:pPr>
      <w:jc w:val="center"/>
    </w:pPr>
    <w:rPr>
      <w:rFonts w:eastAsia="宋体" w:cs="Times New Roman"/>
      <w:sz w:val="21"/>
      <w:szCs w:val="20"/>
    </w:rPr>
  </w:style>
  <w:style w:type="character" w:customStyle="1" w:styleId="69">
    <w:name w:val="font31"/>
    <w:basedOn w:val="23"/>
    <w:qFormat/>
    <w:uiPriority w:val="0"/>
    <w:rPr>
      <w:rFonts w:hint="eastAsia" w:ascii="宋体" w:hAnsi="宋体" w:eastAsia="宋体" w:cs="宋体"/>
      <w:color w:val="000000"/>
      <w:sz w:val="20"/>
      <w:szCs w:val="20"/>
      <w:u w:val="none"/>
    </w:rPr>
  </w:style>
  <w:style w:type="character" w:customStyle="1" w:styleId="70">
    <w:name w:val="font81"/>
    <w:basedOn w:val="23"/>
    <w:qFormat/>
    <w:uiPriority w:val="0"/>
    <w:rPr>
      <w:rFonts w:hint="eastAsia" w:ascii="宋体" w:hAnsi="宋体" w:eastAsia="宋体" w:cs="宋体"/>
      <w:b/>
      <w:color w:val="000000"/>
      <w:sz w:val="22"/>
      <w:szCs w:val="22"/>
      <w:u w:val="none"/>
    </w:rPr>
  </w:style>
  <w:style w:type="character" w:customStyle="1" w:styleId="71">
    <w:name w:val="apple-converted-space"/>
    <w:basedOn w:val="23"/>
    <w:qFormat/>
    <w:uiPriority w:val="0"/>
  </w:style>
  <w:style w:type="character" w:customStyle="1" w:styleId="72">
    <w:name w:val="font21"/>
    <w:basedOn w:val="23"/>
    <w:qFormat/>
    <w:uiPriority w:val="0"/>
    <w:rPr>
      <w:rFonts w:hint="eastAsia" w:ascii="宋体" w:hAnsi="宋体" w:eastAsia="宋体" w:cs="宋体"/>
      <w:color w:val="000000"/>
      <w:sz w:val="20"/>
      <w:szCs w:val="20"/>
      <w:u w:val="none"/>
    </w:rPr>
  </w:style>
  <w:style w:type="character" w:customStyle="1" w:styleId="73">
    <w:name w:val="font71"/>
    <w:basedOn w:val="23"/>
    <w:qFormat/>
    <w:uiPriority w:val="0"/>
    <w:rPr>
      <w:rFonts w:hint="eastAsia" w:ascii="宋体" w:hAnsi="宋体" w:eastAsia="宋体" w:cs="宋体"/>
      <w:color w:val="000000"/>
      <w:sz w:val="20"/>
      <w:szCs w:val="20"/>
      <w:u w:val="none"/>
    </w:rPr>
  </w:style>
  <w:style w:type="character" w:customStyle="1" w:styleId="74">
    <w:name w:val="font61"/>
    <w:basedOn w:val="23"/>
    <w:qFormat/>
    <w:uiPriority w:val="0"/>
    <w:rPr>
      <w:rFonts w:hint="eastAsia" w:ascii="宋体" w:hAnsi="宋体" w:eastAsia="宋体" w:cs="宋体"/>
      <w:b/>
      <w:color w:val="000000"/>
      <w:sz w:val="24"/>
      <w:szCs w:val="24"/>
      <w:u w:val="none"/>
    </w:rPr>
  </w:style>
  <w:style w:type="character" w:customStyle="1" w:styleId="75">
    <w:name w:val="font51"/>
    <w:basedOn w:val="23"/>
    <w:qFormat/>
    <w:uiPriority w:val="0"/>
    <w:rPr>
      <w:rFonts w:hint="eastAsia" w:ascii="宋体" w:hAnsi="宋体" w:eastAsia="宋体" w:cs="宋体"/>
      <w:color w:val="FF0000"/>
      <w:sz w:val="20"/>
      <w:szCs w:val="20"/>
      <w:u w:val="none"/>
    </w:rPr>
  </w:style>
  <w:style w:type="character" w:customStyle="1" w:styleId="76">
    <w:name w:val="font41"/>
    <w:basedOn w:val="23"/>
    <w:qFormat/>
    <w:uiPriority w:val="0"/>
    <w:rPr>
      <w:rFonts w:hint="default" w:ascii="Arial" w:hAnsi="Arial" w:cs="Arial"/>
      <w:color w:val="FF0000"/>
      <w:sz w:val="20"/>
      <w:szCs w:val="20"/>
      <w:u w:val="none"/>
    </w:rPr>
  </w:style>
  <w:style w:type="character" w:customStyle="1" w:styleId="77">
    <w:name w:val="font11"/>
    <w:basedOn w:val="23"/>
    <w:qFormat/>
    <w:uiPriority w:val="0"/>
    <w:rPr>
      <w:rFonts w:hint="default" w:ascii="Arial" w:hAnsi="Arial" w:cs="Arial"/>
      <w:color w:val="FF0000"/>
      <w:sz w:val="20"/>
      <w:szCs w:val="20"/>
      <w:u w:val="none"/>
    </w:rPr>
  </w:style>
  <w:style w:type="character" w:customStyle="1" w:styleId="78">
    <w:name w:val="Char Char3"/>
    <w:qFormat/>
    <w:locked/>
    <w:uiPriority w:val="0"/>
    <w:rPr>
      <w:rFonts w:ascii="宋体" w:hAnsi="Courier New" w:eastAsia="宋体"/>
      <w:kern w:val="2"/>
      <w:sz w:val="21"/>
      <w:lang w:val="en-US" w:eastAsia="zh-CN" w:bidi="ar-SA"/>
    </w:rPr>
  </w:style>
  <w:style w:type="paragraph" w:customStyle="1" w:styleId="79">
    <w:name w:val="plain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列出段落2"/>
    <w:basedOn w:val="1"/>
    <w:qFormat/>
    <w:uiPriority w:val="0"/>
    <w:pPr>
      <w:ind w:firstLine="420" w:firstLineChars="200"/>
    </w:pPr>
    <w:rPr>
      <w:rFonts w:ascii="Calibri" w:hAnsi="Calibri"/>
      <w:szCs w:val="22"/>
    </w:rPr>
  </w:style>
  <w:style w:type="paragraph" w:customStyle="1" w:styleId="81">
    <w:name w:val="列出段落3"/>
    <w:basedOn w:val="1"/>
    <w:qFormat/>
    <w:uiPriority w:val="0"/>
    <w:pPr>
      <w:ind w:firstLine="420" w:firstLineChars="200"/>
    </w:pPr>
    <w:rPr>
      <w:rFonts w:ascii="Calibri" w:hAnsi="Calibri"/>
      <w:szCs w:val="22"/>
    </w:rPr>
  </w:style>
  <w:style w:type="paragraph" w:customStyle="1" w:styleId="82">
    <w:name w:val="Revision"/>
    <w:hidden/>
    <w:semiHidden/>
    <w:qFormat/>
    <w:uiPriority w:val="99"/>
    <w:rPr>
      <w:rFonts w:ascii="Times New Roman" w:hAnsi="Times New Roman" w:eastAsia="宋体" w:cs="Times New Roman"/>
      <w:kern w:val="2"/>
      <w:sz w:val="21"/>
      <w:lang w:val="en-US" w:eastAsia="zh-CN" w:bidi="ar-SA"/>
    </w:rPr>
  </w:style>
  <w:style w:type="paragraph" w:customStyle="1" w:styleId="83">
    <w:name w:val="纯文本3"/>
    <w:basedOn w:val="1"/>
    <w:link w:val="84"/>
    <w:qFormat/>
    <w:uiPriority w:val="0"/>
    <w:pPr>
      <w:adjustRightInd w:val="0"/>
    </w:pPr>
    <w:rPr>
      <w:rFonts w:ascii="宋体" w:hAnsi="Courier New" w:eastAsia="楷体_GB2312"/>
      <w:sz w:val="26"/>
    </w:rPr>
  </w:style>
  <w:style w:type="character" w:customStyle="1" w:styleId="84">
    <w:name w:val="Plain Text Char"/>
    <w:link w:val="83"/>
    <w:qFormat/>
    <w:locked/>
    <w:uiPriority w:val="0"/>
    <w:rPr>
      <w:rFonts w:ascii="宋体" w:hAnsi="Courier New" w:eastAsia="楷体_GB2312" w:cs="Times New Roman"/>
      <w:kern w:val="2"/>
      <w:sz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6A135-FF45-4140-B33E-C293BD9FE18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4896</Words>
  <Characters>5476</Characters>
  <Lines>86</Lines>
  <Paragraphs>24</Paragraphs>
  <TotalTime>11</TotalTime>
  <ScaleCrop>false</ScaleCrop>
  <LinksUpToDate>false</LinksUpToDate>
  <CharactersWithSpaces>5571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2018-03-24T08:20:00Z</dcterms:created>
  <dc:creator>王波</dc:creator>
  <cp:lastModifiedBy>糖果</cp:lastModifiedBy>
  <cp:lastPrinted>2018-07-30T03:04:00Z</cp:lastPrinted>
  <dcterms:modified xsi:type="dcterms:W3CDTF">2025-07-30T08:41:53Z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eyJoZGlkIjoiMWJlZmE2NGIwM2NkM2MxMzZkMjRkOTE1YzhiMGNkNTciLCJ1c2VySWQiOiI1MTYwNjAyNTIifQ==</vt:lpwstr>
  </property>
  <property fmtid="{D5CDD505-2E9C-101B-9397-08002B2CF9AE}" pid="4" name="ICV">
    <vt:lpwstr>51646745F1A84497AD1F57341BA65DA5_13</vt:lpwstr>
  </property>
</Properties>
</file>